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3E7DA7" w14:textId="55704219" w:rsidR="00645BBC" w:rsidRPr="00645BBC" w:rsidRDefault="00000000" w:rsidP="00645BBC">
      <w:pPr>
        <w:pStyle w:val="Heading1"/>
        <w:rPr>
          <w:rFonts w:ascii="Calibri" w:hAnsi="Calibri" w:cs="Calibri"/>
          <w:sz w:val="36"/>
          <w:szCs w:val="36"/>
        </w:rPr>
      </w:pPr>
      <w:r>
        <w:rPr>
          <w:rFonts w:ascii="Calibri" w:hAnsi="Calibri" w:cs="Calibri"/>
          <w:sz w:val="36"/>
          <w:szCs w:val="36"/>
        </w:rPr>
        <w:t xml:space="preserve">Karius </w:t>
      </w:r>
      <w:r w:rsidR="00E708D3">
        <w:rPr>
          <w:rFonts w:ascii="Calibri" w:hAnsi="Calibri" w:cs="Calibri"/>
          <w:sz w:val="36"/>
          <w:szCs w:val="36"/>
        </w:rPr>
        <w:t xml:space="preserve">Spectrum: </w:t>
      </w:r>
      <w:r>
        <w:rPr>
          <w:rFonts w:ascii="Calibri" w:hAnsi="Calibri" w:cs="Calibri"/>
          <w:sz w:val="36"/>
          <w:szCs w:val="36"/>
        </w:rPr>
        <w:t>Plasma Microbial Cell-free DNA</w:t>
      </w:r>
    </w:p>
    <w:p w14:paraId="651BF397" w14:textId="567FBB3A" w:rsidR="00112663" w:rsidRPr="00645BBC" w:rsidRDefault="00000000" w:rsidP="00645BBC">
      <w:pPr>
        <w:pStyle w:val="Heading1"/>
        <w:rPr>
          <w:rFonts w:ascii="Calibri" w:hAnsi="Calibri" w:cs="Calibri"/>
          <w:sz w:val="36"/>
          <w:szCs w:val="36"/>
        </w:rPr>
      </w:pPr>
      <w:r>
        <w:rPr>
          <w:rFonts w:ascii="Calibri" w:hAnsi="Calibri" w:cs="Calibri"/>
          <w:sz w:val="36"/>
          <w:szCs w:val="36"/>
        </w:rPr>
        <w:t>Clinical Indications for Pediatric Patients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7200"/>
      </w:tblGrid>
      <w:tr w:rsidR="00112663" w:rsidRPr="00645BBC" w14:paraId="110072FD" w14:textId="77777777">
        <w:trPr>
          <w:cantSplit/>
          <w:tblHeader/>
        </w:trPr>
        <w:tc>
          <w:tcPr>
            <w:tcW w:w="10080" w:type="dxa"/>
            <w:gridSpan w:val="2"/>
            <w:tcBorders>
              <w:top w:val="single" w:sz="1" w:space="0" w:color="CCCCCC"/>
              <w:left w:val="single" w:sz="1" w:space="0" w:color="CCCCCC"/>
              <w:bottom w:val="single" w:sz="1" w:space="0" w:color="CCCCCC"/>
              <w:right w:val="single" w:sz="1" w:space="0" w:color="CCCCCC"/>
            </w:tcBorders>
            <w:shd w:val="clear" w:color="auto" w:fill="2E7D32"/>
            <w:tcMar>
              <w:top w:w="120" w:type="dxa"/>
              <w:left w:w="140" w:type="dxa"/>
              <w:bottom w:w="120" w:type="dxa"/>
              <w:right w:w="140" w:type="dxa"/>
            </w:tcMar>
          </w:tcPr>
          <w:p w14:paraId="7C5CD912" w14:textId="351328A5" w:rsidR="00112663" w:rsidRPr="00645BBC" w:rsidRDefault="00000000">
            <w:pPr>
              <w:rPr>
                <w:rFonts w:ascii="Calibri" w:hAnsi="Calibri" w:cs="Calibri"/>
                <w:sz w:val="24"/>
                <w:szCs w:val="24"/>
              </w:rPr>
            </w:pPr>
            <w:r>
              <w:rPr>
                <w:rFonts w:ascii="Calibri" w:hAnsi="Calibri" w:cs="Calibri"/>
                <w:b/>
                <w:bCs/>
                <w:color w:val="FFFFFF"/>
                <w:sz w:val="24"/>
                <w:szCs w:val="24"/>
              </w:rPr>
              <w:t xml:space="preserve">GREEN — Appropriate indications </w:t>
            </w:r>
          </w:p>
        </w:tc>
      </w:tr>
      <w:tr w:rsidR="00112663" w:rsidRPr="00645BBC" w14:paraId="4D438A25" w14:textId="77777777">
        <w:trPr>
          <w:cantSplit/>
          <w:tblHeader/>
        </w:trPr>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59481984" w14:textId="77777777" w:rsidR="00112663" w:rsidRPr="00645BBC" w:rsidRDefault="00000000">
            <w:pPr>
              <w:rPr>
                <w:rFonts w:ascii="Calibri" w:hAnsi="Calibri" w:cs="Calibri"/>
                <w:sz w:val="24"/>
                <w:szCs w:val="24"/>
              </w:rPr>
            </w:pPr>
            <w:r>
              <w:rPr>
                <w:rFonts w:ascii="Calibri" w:hAnsi="Calibri" w:cs="Calibri"/>
                <w:b/>
                <w:bCs/>
                <w:sz w:val="24"/>
                <w:szCs w:val="24"/>
              </w:rPr>
              <w:t>Indication</w:t>
            </w:r>
          </w:p>
        </w:tc>
        <w:tc>
          <w:tcPr>
            <w:tcW w:w="72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3E07D357" w14:textId="77777777" w:rsidR="00112663" w:rsidRPr="00645BBC" w:rsidRDefault="00000000">
            <w:pPr>
              <w:rPr>
                <w:rFonts w:ascii="Calibri" w:hAnsi="Calibri" w:cs="Calibri"/>
                <w:sz w:val="24"/>
                <w:szCs w:val="24"/>
              </w:rPr>
            </w:pPr>
            <w:r>
              <w:rPr>
                <w:rFonts w:ascii="Calibri" w:hAnsi="Calibri" w:cs="Calibri"/>
                <w:b/>
                <w:bCs/>
                <w:sz w:val="24"/>
                <w:szCs w:val="24"/>
              </w:rPr>
              <w:t>Criteria / Notes</w:t>
            </w:r>
          </w:p>
        </w:tc>
      </w:tr>
      <w:tr w:rsidR="00112663" w:rsidRPr="00645BBC" w14:paraId="036CBF05"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E8F5E9"/>
            <w:tcMar>
              <w:top w:w="100" w:type="dxa"/>
              <w:left w:w="140" w:type="dxa"/>
              <w:bottom w:w="100" w:type="dxa"/>
              <w:right w:w="140" w:type="dxa"/>
            </w:tcMar>
            <w:vAlign w:val="center"/>
          </w:tcPr>
          <w:p w14:paraId="3317899B" w14:textId="77777777" w:rsidR="00112663" w:rsidRPr="00645BBC" w:rsidRDefault="00000000">
            <w:pPr>
              <w:rPr>
                <w:rFonts w:ascii="Calibri" w:hAnsi="Calibri" w:cs="Calibri"/>
                <w:sz w:val="24"/>
                <w:szCs w:val="24"/>
              </w:rPr>
            </w:pPr>
            <w:r>
              <w:rPr>
                <w:rFonts w:ascii="Calibri" w:hAnsi="Calibri" w:cs="Calibri"/>
                <w:b/>
                <w:bCs/>
                <w:sz w:val="24"/>
                <w:szCs w:val="24"/>
              </w:rPr>
              <w:t>Culture-negative endocarditis</w:t>
            </w:r>
          </w:p>
        </w:tc>
        <w:tc>
          <w:tcPr>
            <w:tcW w:w="7200" w:type="dxa"/>
            <w:tcBorders>
              <w:top w:val="single" w:sz="1" w:space="0" w:color="CCCCCC"/>
              <w:left w:val="single" w:sz="1" w:space="0" w:color="CCCCCC"/>
              <w:bottom w:val="single" w:sz="1" w:space="0" w:color="CCCCCC"/>
              <w:right w:val="single" w:sz="1" w:space="0" w:color="CCCCCC"/>
            </w:tcBorders>
            <w:shd w:val="clear" w:color="auto" w:fill="E8F5E9"/>
            <w:tcMar>
              <w:top w:w="100" w:type="dxa"/>
              <w:left w:w="140" w:type="dxa"/>
              <w:bottom w:w="100" w:type="dxa"/>
              <w:right w:w="140" w:type="dxa"/>
            </w:tcMar>
            <w:vAlign w:val="center"/>
          </w:tcPr>
          <w:p w14:paraId="2906C2D2" w14:textId="0B16CFD5" w:rsidR="00112663" w:rsidRPr="00645BBC" w:rsidRDefault="00132A44">
            <w:pPr>
              <w:rPr>
                <w:rFonts w:ascii="Calibri" w:hAnsi="Calibri" w:cs="Calibri"/>
                <w:sz w:val="24"/>
                <w:szCs w:val="24"/>
              </w:rPr>
            </w:pPr>
            <w:r>
              <w:rPr>
                <w:rFonts w:ascii="Calibri" w:hAnsi="Calibri" w:cs="Calibri"/>
                <w:sz w:val="24"/>
                <w:szCs w:val="24"/>
              </w:rPr>
              <w:t xml:space="preserve">Strongest evidence base. Blood cultures and traditional infectious evaluation negative ≥ 48h; suspicion for fastidious organism such as Bartonella, Q fever, Brucella, HACEK, or Histoplasma. Fulfills major Duke Criterion if </w:t>
            </w:r>
            <w:r>
              <w:rPr>
                <w:rFonts w:ascii="Calibri" w:hAnsi="Calibri" w:cs="Calibri"/>
                <w:i/>
                <w:iCs/>
                <w:sz w:val="24"/>
                <w:szCs w:val="24"/>
              </w:rPr>
              <w:t>C. burnetii,</w:t>
            </w:r>
            <w:r>
              <w:rPr>
                <w:rFonts w:ascii="Calibri" w:hAnsi="Calibri" w:cs="Calibri"/>
                <w:sz w:val="24"/>
                <w:szCs w:val="24"/>
              </w:rPr>
              <w:t xml:space="preserve"> </w:t>
            </w:r>
            <w:r>
              <w:rPr>
                <w:rFonts w:ascii="Calibri" w:hAnsi="Calibri" w:cs="Calibri"/>
                <w:i/>
                <w:iCs/>
                <w:sz w:val="24"/>
                <w:szCs w:val="24"/>
              </w:rPr>
              <w:t>Bartonella</w:t>
            </w:r>
            <w:r>
              <w:rPr>
                <w:rFonts w:ascii="Calibri" w:hAnsi="Calibri" w:cs="Calibri"/>
                <w:sz w:val="24"/>
                <w:szCs w:val="24"/>
              </w:rPr>
              <w:t xml:space="preserve">, or </w:t>
            </w:r>
            <w:r>
              <w:rPr>
                <w:rFonts w:ascii="Calibri" w:hAnsi="Calibri" w:cs="Calibri"/>
                <w:i/>
                <w:iCs/>
                <w:sz w:val="24"/>
                <w:szCs w:val="24"/>
              </w:rPr>
              <w:t xml:space="preserve">T. whipplei </w:t>
            </w:r>
            <w:r>
              <w:rPr>
                <w:rFonts w:ascii="Calibri" w:hAnsi="Calibri" w:cs="Calibri"/>
                <w:sz w:val="24"/>
                <w:szCs w:val="24"/>
              </w:rPr>
              <w:t>detected.</w:t>
            </w:r>
          </w:p>
        </w:tc>
      </w:tr>
      <w:tr w:rsidR="00112663" w:rsidRPr="00645BBC" w14:paraId="70CF2CC2"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E8F5E9"/>
            <w:tcMar>
              <w:top w:w="100" w:type="dxa"/>
              <w:left w:w="140" w:type="dxa"/>
              <w:bottom w:w="100" w:type="dxa"/>
              <w:right w:w="140" w:type="dxa"/>
            </w:tcMar>
            <w:vAlign w:val="center"/>
          </w:tcPr>
          <w:p w14:paraId="7DE8D64A" w14:textId="64D30C18" w:rsidR="00112663" w:rsidRPr="00645BBC" w:rsidRDefault="00000000">
            <w:pPr>
              <w:rPr>
                <w:rFonts w:ascii="Calibri" w:hAnsi="Calibri" w:cs="Calibri"/>
                <w:sz w:val="24"/>
                <w:szCs w:val="24"/>
              </w:rPr>
            </w:pPr>
            <w:r>
              <w:rPr>
                <w:rFonts w:ascii="Calibri" w:hAnsi="Calibri" w:cs="Calibri"/>
                <w:b/>
                <w:bCs/>
                <w:sz w:val="24"/>
                <w:szCs w:val="24"/>
              </w:rPr>
              <w:t>Deep-seated infection, biopsy not feasible</w:t>
            </w:r>
          </w:p>
        </w:tc>
        <w:tc>
          <w:tcPr>
            <w:tcW w:w="7200" w:type="dxa"/>
            <w:tcBorders>
              <w:top w:val="single" w:sz="1" w:space="0" w:color="CCCCCC"/>
              <w:left w:val="single" w:sz="1" w:space="0" w:color="CCCCCC"/>
              <w:bottom w:val="single" w:sz="1" w:space="0" w:color="CCCCCC"/>
              <w:right w:val="single" w:sz="1" w:space="0" w:color="CCCCCC"/>
            </w:tcBorders>
            <w:shd w:val="clear" w:color="auto" w:fill="E8F5E9"/>
            <w:tcMar>
              <w:top w:w="100" w:type="dxa"/>
              <w:left w:w="140" w:type="dxa"/>
              <w:bottom w:w="100" w:type="dxa"/>
              <w:right w:w="140" w:type="dxa"/>
            </w:tcMar>
            <w:vAlign w:val="center"/>
          </w:tcPr>
          <w:p w14:paraId="6871CCEA" w14:textId="220256F5" w:rsidR="00112663" w:rsidRPr="00645BBC" w:rsidRDefault="00000000">
            <w:pPr>
              <w:rPr>
                <w:rFonts w:ascii="Calibri" w:hAnsi="Calibri" w:cs="Calibri"/>
                <w:sz w:val="24"/>
                <w:szCs w:val="24"/>
              </w:rPr>
            </w:pPr>
            <w:r>
              <w:rPr>
                <w:rFonts w:ascii="Calibri" w:hAnsi="Calibri" w:cs="Calibri"/>
                <w:sz w:val="24"/>
                <w:szCs w:val="24"/>
              </w:rPr>
              <w:t xml:space="preserve">Examples: Brain abscess, vertebral osteomyelitis/discitis with negative blood cultures. Traditional evaluation negative ≥ 48h. </w:t>
            </w:r>
          </w:p>
        </w:tc>
      </w:tr>
      <w:tr w:rsidR="00112663" w:rsidRPr="00645BBC" w14:paraId="1D436C71"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E8F5E9"/>
            <w:tcMar>
              <w:top w:w="100" w:type="dxa"/>
              <w:left w:w="140" w:type="dxa"/>
              <w:bottom w:w="100" w:type="dxa"/>
              <w:right w:w="140" w:type="dxa"/>
            </w:tcMar>
            <w:vAlign w:val="center"/>
          </w:tcPr>
          <w:p w14:paraId="56F50310" w14:textId="0A7649E1" w:rsidR="00112663" w:rsidRPr="00645BBC" w:rsidRDefault="00000000">
            <w:pPr>
              <w:rPr>
                <w:rFonts w:ascii="Calibri" w:hAnsi="Calibri" w:cs="Calibri"/>
                <w:sz w:val="24"/>
                <w:szCs w:val="24"/>
              </w:rPr>
            </w:pPr>
            <w:r>
              <w:rPr>
                <w:rFonts w:ascii="Calibri" w:hAnsi="Calibri" w:cs="Calibri"/>
                <w:b/>
                <w:bCs/>
                <w:sz w:val="24"/>
                <w:szCs w:val="24"/>
              </w:rPr>
              <w:t>Immunocompromised host (high-risk) with negative workup, ongoing infection</w:t>
            </w:r>
          </w:p>
        </w:tc>
        <w:tc>
          <w:tcPr>
            <w:tcW w:w="7200" w:type="dxa"/>
            <w:tcBorders>
              <w:top w:val="single" w:sz="1" w:space="0" w:color="CCCCCC"/>
              <w:left w:val="single" w:sz="1" w:space="0" w:color="CCCCCC"/>
              <w:bottom w:val="single" w:sz="1" w:space="0" w:color="CCCCCC"/>
              <w:right w:val="single" w:sz="1" w:space="0" w:color="CCCCCC"/>
            </w:tcBorders>
            <w:shd w:val="clear" w:color="auto" w:fill="E8F5E9"/>
            <w:tcMar>
              <w:top w:w="100" w:type="dxa"/>
              <w:left w:w="140" w:type="dxa"/>
              <w:bottom w:w="100" w:type="dxa"/>
              <w:right w:w="140" w:type="dxa"/>
            </w:tcMar>
            <w:vAlign w:val="center"/>
          </w:tcPr>
          <w:p w14:paraId="10836EEE" w14:textId="7E524557" w:rsidR="00112663" w:rsidRPr="00645BBC" w:rsidRDefault="00000000">
            <w:pPr>
              <w:rPr>
                <w:rFonts w:ascii="Calibri" w:hAnsi="Calibri" w:cs="Calibri"/>
                <w:sz w:val="24"/>
                <w:szCs w:val="24"/>
              </w:rPr>
            </w:pPr>
            <w:r>
              <w:rPr>
                <w:rFonts w:ascii="Calibri" w:hAnsi="Calibri" w:cs="Calibri"/>
                <w:sz w:val="24"/>
                <w:szCs w:val="24"/>
              </w:rPr>
              <w:t xml:space="preserve">Includes SOT or HSCT recipients, high-risk febrile neutropenia, and severe primary immunodeficiency. Traditional evaluation negative ≥ 24-48h. </w:t>
            </w:r>
          </w:p>
        </w:tc>
      </w:tr>
      <w:tr w:rsidR="00112663" w:rsidRPr="00645BBC" w14:paraId="275BD198"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E8F5E9"/>
            <w:tcMar>
              <w:top w:w="100" w:type="dxa"/>
              <w:left w:w="140" w:type="dxa"/>
              <w:bottom w:w="100" w:type="dxa"/>
              <w:right w:w="140" w:type="dxa"/>
            </w:tcMar>
            <w:vAlign w:val="center"/>
          </w:tcPr>
          <w:p w14:paraId="3EA3E592" w14:textId="2BEEEDFE" w:rsidR="00112663" w:rsidRPr="00645BBC" w:rsidRDefault="00000000">
            <w:pPr>
              <w:rPr>
                <w:rFonts w:ascii="Calibri" w:hAnsi="Calibri" w:cs="Calibri"/>
                <w:sz w:val="24"/>
                <w:szCs w:val="24"/>
              </w:rPr>
            </w:pPr>
            <w:r>
              <w:rPr>
                <w:rFonts w:ascii="Calibri" w:hAnsi="Calibri" w:cs="Calibri"/>
                <w:b/>
                <w:bCs/>
                <w:sz w:val="24"/>
                <w:szCs w:val="24"/>
              </w:rPr>
              <w:t>Atypical/fastidious pathogen with high epidemiologic concern</w:t>
            </w:r>
          </w:p>
        </w:tc>
        <w:tc>
          <w:tcPr>
            <w:tcW w:w="7200" w:type="dxa"/>
            <w:tcBorders>
              <w:top w:val="single" w:sz="1" w:space="0" w:color="CCCCCC"/>
              <w:left w:val="single" w:sz="1" w:space="0" w:color="CCCCCC"/>
              <w:bottom w:val="single" w:sz="1" w:space="0" w:color="CCCCCC"/>
              <w:right w:val="single" w:sz="1" w:space="0" w:color="CCCCCC"/>
            </w:tcBorders>
            <w:shd w:val="clear" w:color="auto" w:fill="E8F5E9"/>
            <w:tcMar>
              <w:top w:w="100" w:type="dxa"/>
              <w:left w:w="140" w:type="dxa"/>
              <w:bottom w:w="100" w:type="dxa"/>
              <w:right w:w="140" w:type="dxa"/>
            </w:tcMar>
            <w:vAlign w:val="center"/>
          </w:tcPr>
          <w:p w14:paraId="30AAE68F" w14:textId="365B6DFE" w:rsidR="00112663" w:rsidRPr="00645BBC" w:rsidRDefault="00000000">
            <w:pPr>
              <w:rPr>
                <w:rFonts w:ascii="Calibri" w:hAnsi="Calibri" w:cs="Calibri"/>
                <w:sz w:val="24"/>
                <w:szCs w:val="24"/>
              </w:rPr>
            </w:pPr>
            <w:r>
              <w:rPr>
                <w:rFonts w:ascii="Calibri" w:hAnsi="Calibri" w:cs="Calibri"/>
                <w:sz w:val="24"/>
                <w:szCs w:val="24"/>
              </w:rPr>
              <w:t xml:space="preserve">Strong suspicion for Nocardia, Kingella, Coxiella/Q fever, Brucella, tularemia, or invasive fungal infection when conventional testing unrevealing. </w:t>
            </w:r>
          </w:p>
        </w:tc>
      </w:tr>
    </w:tbl>
    <w:p w14:paraId="08847F4D" w14:textId="77777777" w:rsidR="00112663" w:rsidRPr="00645BBC" w:rsidRDefault="00112663">
      <w:pPr>
        <w:spacing w:after="260"/>
        <w:rPr>
          <w:rFonts w:ascii="Calibri" w:hAnsi="Calibri" w:cs="Calibri"/>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7200"/>
      </w:tblGrid>
      <w:tr w:rsidR="00112663" w:rsidRPr="00645BBC" w14:paraId="4ECAAD31" w14:textId="77777777">
        <w:trPr>
          <w:cantSplit/>
          <w:tblHeader/>
        </w:trPr>
        <w:tc>
          <w:tcPr>
            <w:tcW w:w="10080" w:type="dxa"/>
            <w:gridSpan w:val="2"/>
            <w:tcBorders>
              <w:top w:val="single" w:sz="1" w:space="0" w:color="CCCCCC"/>
              <w:left w:val="single" w:sz="1" w:space="0" w:color="CCCCCC"/>
              <w:bottom w:val="single" w:sz="1" w:space="0" w:color="CCCCCC"/>
              <w:right w:val="single" w:sz="1" w:space="0" w:color="CCCCCC"/>
            </w:tcBorders>
            <w:shd w:val="clear" w:color="auto" w:fill="B7950B"/>
            <w:tcMar>
              <w:top w:w="120" w:type="dxa"/>
              <w:left w:w="140" w:type="dxa"/>
              <w:bottom w:w="120" w:type="dxa"/>
              <w:right w:w="140" w:type="dxa"/>
            </w:tcMar>
          </w:tcPr>
          <w:p w14:paraId="5E146099" w14:textId="77777777" w:rsidR="00112663" w:rsidRPr="00645BBC" w:rsidRDefault="00000000">
            <w:pPr>
              <w:rPr>
                <w:rFonts w:ascii="Calibri" w:hAnsi="Calibri" w:cs="Calibri"/>
                <w:sz w:val="24"/>
                <w:szCs w:val="24"/>
              </w:rPr>
            </w:pPr>
            <w:r>
              <w:rPr>
                <w:rFonts w:ascii="Calibri" w:hAnsi="Calibri" w:cs="Calibri"/>
                <w:b/>
                <w:bCs/>
                <w:color w:val="FFFFFF"/>
                <w:sz w:val="24"/>
                <w:szCs w:val="24"/>
              </w:rPr>
              <w:t>YELLOW — Limited / conflicting evidence; use selectively with ID input</w:t>
            </w:r>
          </w:p>
        </w:tc>
      </w:tr>
      <w:tr w:rsidR="00112663" w:rsidRPr="00645BBC" w14:paraId="3EE70053" w14:textId="77777777">
        <w:trPr>
          <w:cantSplit/>
          <w:tblHeader/>
        </w:trPr>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506301F3" w14:textId="77777777" w:rsidR="00112663" w:rsidRPr="00645BBC" w:rsidRDefault="00000000">
            <w:pPr>
              <w:rPr>
                <w:rFonts w:ascii="Calibri" w:hAnsi="Calibri" w:cs="Calibri"/>
                <w:sz w:val="24"/>
                <w:szCs w:val="24"/>
              </w:rPr>
            </w:pPr>
            <w:r>
              <w:rPr>
                <w:rFonts w:ascii="Calibri" w:hAnsi="Calibri" w:cs="Calibri"/>
                <w:b/>
                <w:bCs/>
                <w:sz w:val="24"/>
                <w:szCs w:val="24"/>
              </w:rPr>
              <w:t>Indication</w:t>
            </w:r>
          </w:p>
        </w:tc>
        <w:tc>
          <w:tcPr>
            <w:tcW w:w="72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014E9642" w14:textId="77777777" w:rsidR="00112663" w:rsidRPr="00645BBC" w:rsidRDefault="00000000">
            <w:pPr>
              <w:rPr>
                <w:rFonts w:ascii="Calibri" w:hAnsi="Calibri" w:cs="Calibri"/>
                <w:sz w:val="24"/>
                <w:szCs w:val="24"/>
              </w:rPr>
            </w:pPr>
            <w:r>
              <w:rPr>
                <w:rFonts w:ascii="Calibri" w:hAnsi="Calibri" w:cs="Calibri"/>
                <w:b/>
                <w:bCs/>
                <w:sz w:val="24"/>
                <w:szCs w:val="24"/>
              </w:rPr>
              <w:t>Criteria / Notes</w:t>
            </w:r>
          </w:p>
        </w:tc>
      </w:tr>
      <w:tr w:rsidR="00112663" w:rsidRPr="00645BBC" w14:paraId="17B6B9E7"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FEF9E7"/>
            <w:tcMar>
              <w:top w:w="100" w:type="dxa"/>
              <w:left w:w="140" w:type="dxa"/>
              <w:bottom w:w="100" w:type="dxa"/>
              <w:right w:w="140" w:type="dxa"/>
            </w:tcMar>
            <w:vAlign w:val="center"/>
          </w:tcPr>
          <w:p w14:paraId="3F043949" w14:textId="77777777" w:rsidR="00112663" w:rsidRPr="00645BBC" w:rsidRDefault="00000000">
            <w:pPr>
              <w:rPr>
                <w:rFonts w:ascii="Calibri" w:hAnsi="Calibri" w:cs="Calibri"/>
                <w:sz w:val="24"/>
                <w:szCs w:val="24"/>
              </w:rPr>
            </w:pPr>
            <w:r>
              <w:rPr>
                <w:rFonts w:ascii="Calibri" w:hAnsi="Calibri" w:cs="Calibri"/>
                <w:b/>
                <w:bCs/>
                <w:sz w:val="24"/>
                <w:szCs w:val="24"/>
              </w:rPr>
              <w:t>Invasive fungal infection</w:t>
            </w:r>
          </w:p>
        </w:tc>
        <w:tc>
          <w:tcPr>
            <w:tcW w:w="7200" w:type="dxa"/>
            <w:tcBorders>
              <w:top w:val="single" w:sz="1" w:space="0" w:color="CCCCCC"/>
              <w:left w:val="single" w:sz="1" w:space="0" w:color="CCCCCC"/>
              <w:bottom w:val="single" w:sz="1" w:space="0" w:color="CCCCCC"/>
              <w:right w:val="single" w:sz="1" w:space="0" w:color="CCCCCC"/>
            </w:tcBorders>
            <w:shd w:val="clear" w:color="auto" w:fill="FEF9E7"/>
            <w:tcMar>
              <w:top w:w="100" w:type="dxa"/>
              <w:left w:w="140" w:type="dxa"/>
              <w:bottom w:w="100" w:type="dxa"/>
              <w:right w:w="140" w:type="dxa"/>
            </w:tcMar>
            <w:vAlign w:val="center"/>
          </w:tcPr>
          <w:p w14:paraId="20166F40" w14:textId="48B8322A" w:rsidR="00112663" w:rsidRPr="00645BBC" w:rsidRDefault="00000000">
            <w:pPr>
              <w:rPr>
                <w:rFonts w:ascii="Calibri" w:hAnsi="Calibri" w:cs="Calibri"/>
                <w:sz w:val="24"/>
                <w:szCs w:val="24"/>
              </w:rPr>
            </w:pPr>
            <w:r>
              <w:rPr>
                <w:rFonts w:ascii="Calibri" w:hAnsi="Calibri" w:cs="Calibri"/>
                <w:sz w:val="24"/>
                <w:szCs w:val="24"/>
              </w:rPr>
              <w:t>Diagnosis is challenging; conventional testing does not always yield an organism. Despite limitations (reduced sensitivity for Aspergillus), Karius may detect the causative organism when a time-sensitive diagnosis is required, and biopsy is not feasible.</w:t>
            </w:r>
          </w:p>
        </w:tc>
      </w:tr>
      <w:tr w:rsidR="00112663" w:rsidRPr="00645BBC" w14:paraId="085B6C7A"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FEF9E7"/>
            <w:tcMar>
              <w:top w:w="100" w:type="dxa"/>
              <w:left w:w="140" w:type="dxa"/>
              <w:bottom w:w="100" w:type="dxa"/>
              <w:right w:w="140" w:type="dxa"/>
            </w:tcMar>
            <w:vAlign w:val="center"/>
          </w:tcPr>
          <w:p w14:paraId="5806899D" w14:textId="77777777" w:rsidR="00112663" w:rsidRPr="00645BBC" w:rsidRDefault="00000000">
            <w:pPr>
              <w:rPr>
                <w:rFonts w:ascii="Calibri" w:hAnsi="Calibri" w:cs="Calibri"/>
                <w:sz w:val="24"/>
                <w:szCs w:val="24"/>
              </w:rPr>
            </w:pPr>
            <w:r>
              <w:rPr>
                <w:rFonts w:ascii="Calibri" w:hAnsi="Calibri" w:cs="Calibri"/>
                <w:b/>
                <w:bCs/>
                <w:sz w:val="24"/>
                <w:szCs w:val="24"/>
              </w:rPr>
              <w:t>Complicated pediatric pneumonia</w:t>
            </w:r>
          </w:p>
        </w:tc>
        <w:tc>
          <w:tcPr>
            <w:tcW w:w="7200" w:type="dxa"/>
            <w:tcBorders>
              <w:top w:val="single" w:sz="1" w:space="0" w:color="CCCCCC"/>
              <w:left w:val="single" w:sz="1" w:space="0" w:color="CCCCCC"/>
              <w:bottom w:val="single" w:sz="1" w:space="0" w:color="CCCCCC"/>
              <w:right w:val="single" w:sz="1" w:space="0" w:color="CCCCCC"/>
            </w:tcBorders>
            <w:shd w:val="clear" w:color="auto" w:fill="FEF9E7"/>
            <w:tcMar>
              <w:top w:w="100" w:type="dxa"/>
              <w:left w:w="140" w:type="dxa"/>
              <w:bottom w:w="100" w:type="dxa"/>
              <w:right w:w="140" w:type="dxa"/>
            </w:tcMar>
            <w:vAlign w:val="center"/>
          </w:tcPr>
          <w:p w14:paraId="0DDA3CCE" w14:textId="77777777" w:rsidR="00112663" w:rsidRPr="00645BBC" w:rsidRDefault="00000000">
            <w:pPr>
              <w:rPr>
                <w:rFonts w:ascii="Calibri" w:hAnsi="Calibri" w:cs="Calibri"/>
                <w:sz w:val="24"/>
                <w:szCs w:val="24"/>
              </w:rPr>
            </w:pPr>
            <w:r>
              <w:rPr>
                <w:rFonts w:ascii="Calibri" w:hAnsi="Calibri" w:cs="Calibri"/>
                <w:sz w:val="24"/>
                <w:szCs w:val="24"/>
              </w:rPr>
              <w:t xml:space="preserve">Yield may exceed standard testing in pediatrics and can impact antibiotic management, but evidence is primarily retrospective. Consider if traditional testing (cultures, RVP, Strep pneumo urine ag, or MRSA nares) is unrevealing </w:t>
            </w:r>
            <w:r>
              <w:rPr>
                <w:rFonts w:ascii="Calibri" w:hAnsi="Calibri" w:cs="Calibri"/>
                <w:i/>
                <w:iCs/>
                <w:sz w:val="24"/>
                <w:szCs w:val="24"/>
                <w:u w:val="single"/>
              </w:rPr>
              <w:t>and</w:t>
            </w:r>
            <w:r>
              <w:rPr>
                <w:rFonts w:ascii="Calibri" w:hAnsi="Calibri" w:cs="Calibri"/>
                <w:sz w:val="24"/>
                <w:szCs w:val="24"/>
              </w:rPr>
              <w:t xml:space="preserve"> results would change management.</w:t>
            </w:r>
          </w:p>
        </w:tc>
      </w:tr>
      <w:tr w:rsidR="00112663" w:rsidRPr="00645BBC" w14:paraId="4CEBC97C"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FEF9E7"/>
            <w:tcMar>
              <w:top w:w="100" w:type="dxa"/>
              <w:left w:w="140" w:type="dxa"/>
              <w:bottom w:w="100" w:type="dxa"/>
              <w:right w:w="140" w:type="dxa"/>
            </w:tcMar>
            <w:vAlign w:val="center"/>
          </w:tcPr>
          <w:p w14:paraId="365D3C4B" w14:textId="77777777" w:rsidR="00112663" w:rsidRPr="00645BBC" w:rsidRDefault="00000000">
            <w:pPr>
              <w:rPr>
                <w:rFonts w:ascii="Calibri" w:hAnsi="Calibri" w:cs="Calibri"/>
                <w:sz w:val="24"/>
                <w:szCs w:val="24"/>
              </w:rPr>
            </w:pPr>
            <w:r>
              <w:rPr>
                <w:rFonts w:ascii="Calibri" w:hAnsi="Calibri" w:cs="Calibri"/>
                <w:b/>
                <w:bCs/>
                <w:sz w:val="24"/>
                <w:szCs w:val="24"/>
              </w:rPr>
              <w:t>Fever of unknown origin (FUO)</w:t>
            </w:r>
          </w:p>
        </w:tc>
        <w:tc>
          <w:tcPr>
            <w:tcW w:w="7200" w:type="dxa"/>
            <w:tcBorders>
              <w:top w:val="single" w:sz="1" w:space="0" w:color="CCCCCC"/>
              <w:left w:val="single" w:sz="1" w:space="0" w:color="CCCCCC"/>
              <w:bottom w:val="single" w:sz="1" w:space="0" w:color="CCCCCC"/>
              <w:right w:val="single" w:sz="1" w:space="0" w:color="CCCCCC"/>
            </w:tcBorders>
            <w:shd w:val="clear" w:color="auto" w:fill="FEF9E7"/>
            <w:tcMar>
              <w:top w:w="100" w:type="dxa"/>
              <w:left w:w="140" w:type="dxa"/>
              <w:bottom w:w="100" w:type="dxa"/>
              <w:right w:w="140" w:type="dxa"/>
            </w:tcMar>
            <w:vAlign w:val="center"/>
          </w:tcPr>
          <w:p w14:paraId="31DED706" w14:textId="77777777" w:rsidR="00112663" w:rsidRPr="00645BBC" w:rsidRDefault="00000000">
            <w:pPr>
              <w:rPr>
                <w:rFonts w:ascii="Calibri" w:hAnsi="Calibri" w:cs="Calibri"/>
                <w:sz w:val="24"/>
                <w:szCs w:val="24"/>
              </w:rPr>
            </w:pPr>
            <w:r>
              <w:rPr>
                <w:rFonts w:ascii="Calibri" w:hAnsi="Calibri" w:cs="Calibri"/>
                <w:sz w:val="24"/>
                <w:szCs w:val="24"/>
              </w:rPr>
              <w:t>Limited data (case reports/series only). Consider after full tiered workup (blood cultures, imaging, malignancy/autoimmune evaluation) is negative and infectious etiology remains high on differential.</w:t>
            </w:r>
          </w:p>
        </w:tc>
      </w:tr>
      <w:tr w:rsidR="00112663" w:rsidRPr="00645BBC" w14:paraId="57421B40"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FEF9E7"/>
            <w:tcMar>
              <w:top w:w="100" w:type="dxa"/>
              <w:left w:w="140" w:type="dxa"/>
              <w:bottom w:w="100" w:type="dxa"/>
              <w:right w:w="140" w:type="dxa"/>
            </w:tcMar>
            <w:vAlign w:val="center"/>
          </w:tcPr>
          <w:p w14:paraId="0C9D7EC1" w14:textId="77777777" w:rsidR="00112663" w:rsidRPr="00645BBC" w:rsidRDefault="00000000">
            <w:pPr>
              <w:rPr>
                <w:rFonts w:ascii="Calibri" w:hAnsi="Calibri" w:cs="Calibri"/>
                <w:sz w:val="24"/>
                <w:szCs w:val="24"/>
              </w:rPr>
            </w:pPr>
            <w:r>
              <w:rPr>
                <w:rFonts w:ascii="Calibri" w:hAnsi="Calibri" w:cs="Calibri"/>
                <w:b/>
                <w:bCs/>
                <w:sz w:val="24"/>
                <w:szCs w:val="24"/>
              </w:rPr>
              <w:t>Concern for zoonotic / vector-borne pathogen</w:t>
            </w:r>
          </w:p>
        </w:tc>
        <w:tc>
          <w:tcPr>
            <w:tcW w:w="7200" w:type="dxa"/>
            <w:tcBorders>
              <w:top w:val="single" w:sz="1" w:space="0" w:color="CCCCCC"/>
              <w:left w:val="single" w:sz="1" w:space="0" w:color="CCCCCC"/>
              <w:bottom w:val="single" w:sz="1" w:space="0" w:color="CCCCCC"/>
              <w:right w:val="single" w:sz="1" w:space="0" w:color="CCCCCC"/>
            </w:tcBorders>
            <w:shd w:val="clear" w:color="auto" w:fill="FEF9E7"/>
            <w:tcMar>
              <w:top w:w="100" w:type="dxa"/>
              <w:left w:w="140" w:type="dxa"/>
              <w:bottom w:w="100" w:type="dxa"/>
              <w:right w:w="140" w:type="dxa"/>
            </w:tcMar>
            <w:vAlign w:val="center"/>
          </w:tcPr>
          <w:p w14:paraId="11146A63" w14:textId="77777777" w:rsidR="00112663" w:rsidRPr="00645BBC" w:rsidRDefault="00000000">
            <w:pPr>
              <w:rPr>
                <w:rFonts w:ascii="Calibri" w:hAnsi="Calibri" w:cs="Calibri"/>
                <w:sz w:val="24"/>
                <w:szCs w:val="24"/>
              </w:rPr>
            </w:pPr>
            <w:r>
              <w:rPr>
                <w:rFonts w:ascii="Calibri" w:hAnsi="Calibri" w:cs="Calibri"/>
                <w:sz w:val="24"/>
                <w:szCs w:val="24"/>
              </w:rPr>
              <w:t>Reasonable when conventional serology is negative and epidemiologic exposure is compelling.</w:t>
            </w:r>
          </w:p>
        </w:tc>
      </w:tr>
    </w:tbl>
    <w:p w14:paraId="0D3F8949" w14:textId="77777777" w:rsidR="007F2EB4" w:rsidRPr="00645BBC" w:rsidRDefault="007F2EB4">
      <w:pPr>
        <w:spacing w:after="260"/>
        <w:rPr>
          <w:rFonts w:ascii="Calibri" w:hAnsi="Calibri" w:cs="Calibri"/>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7200"/>
      </w:tblGrid>
      <w:tr w:rsidR="00112663" w:rsidRPr="00645BBC" w14:paraId="1570D798" w14:textId="77777777">
        <w:trPr>
          <w:cantSplit/>
          <w:tblHeader/>
        </w:trPr>
        <w:tc>
          <w:tcPr>
            <w:tcW w:w="10080" w:type="dxa"/>
            <w:gridSpan w:val="2"/>
            <w:tcBorders>
              <w:top w:val="single" w:sz="1" w:space="0" w:color="CCCCCC"/>
              <w:left w:val="single" w:sz="1" w:space="0" w:color="CCCCCC"/>
              <w:bottom w:val="single" w:sz="1" w:space="0" w:color="CCCCCC"/>
              <w:right w:val="single" w:sz="1" w:space="0" w:color="CCCCCC"/>
            </w:tcBorders>
            <w:shd w:val="clear" w:color="auto" w:fill="C0392B"/>
            <w:tcMar>
              <w:top w:w="120" w:type="dxa"/>
              <w:left w:w="140" w:type="dxa"/>
              <w:bottom w:w="120" w:type="dxa"/>
              <w:right w:w="140" w:type="dxa"/>
            </w:tcMar>
          </w:tcPr>
          <w:p w14:paraId="3D7A3C87" w14:textId="77777777" w:rsidR="00112663" w:rsidRPr="00645BBC" w:rsidRDefault="00000000">
            <w:pPr>
              <w:rPr>
                <w:rFonts w:ascii="Calibri" w:hAnsi="Calibri" w:cs="Calibri"/>
                <w:sz w:val="24"/>
                <w:szCs w:val="24"/>
              </w:rPr>
            </w:pPr>
            <w:r>
              <w:rPr>
                <w:rFonts w:ascii="Calibri" w:hAnsi="Calibri" w:cs="Calibri"/>
                <w:b/>
                <w:bCs/>
                <w:color w:val="FFFFFF"/>
                <w:sz w:val="24"/>
                <w:szCs w:val="24"/>
              </w:rPr>
              <w:lastRenderedPageBreak/>
              <w:t>RED — Do not use</w:t>
            </w:r>
          </w:p>
        </w:tc>
      </w:tr>
      <w:tr w:rsidR="00112663" w:rsidRPr="00645BBC" w14:paraId="4A6156DF" w14:textId="77777777">
        <w:trPr>
          <w:cantSplit/>
          <w:tblHeader/>
        </w:trPr>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250B9FD0" w14:textId="77777777" w:rsidR="00112663" w:rsidRPr="00645BBC" w:rsidRDefault="00000000">
            <w:pPr>
              <w:rPr>
                <w:rFonts w:ascii="Calibri" w:hAnsi="Calibri" w:cs="Calibri"/>
                <w:sz w:val="24"/>
                <w:szCs w:val="24"/>
              </w:rPr>
            </w:pPr>
            <w:r>
              <w:rPr>
                <w:rFonts w:ascii="Calibri" w:hAnsi="Calibri" w:cs="Calibri"/>
                <w:b/>
                <w:bCs/>
                <w:sz w:val="24"/>
                <w:szCs w:val="24"/>
              </w:rPr>
              <w:t>Indication</w:t>
            </w:r>
          </w:p>
        </w:tc>
        <w:tc>
          <w:tcPr>
            <w:tcW w:w="72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49FEADE0" w14:textId="77777777" w:rsidR="00112663" w:rsidRPr="00645BBC" w:rsidRDefault="00000000">
            <w:pPr>
              <w:rPr>
                <w:rFonts w:ascii="Calibri" w:hAnsi="Calibri" w:cs="Calibri"/>
                <w:sz w:val="24"/>
                <w:szCs w:val="24"/>
              </w:rPr>
            </w:pPr>
            <w:r>
              <w:rPr>
                <w:rFonts w:ascii="Calibri" w:hAnsi="Calibri" w:cs="Calibri"/>
                <w:b/>
                <w:bCs/>
                <w:sz w:val="24"/>
                <w:szCs w:val="24"/>
              </w:rPr>
              <w:t>Criteria / Notes</w:t>
            </w:r>
          </w:p>
        </w:tc>
      </w:tr>
      <w:tr w:rsidR="00112663" w:rsidRPr="00645BBC" w14:paraId="49ED8B2A"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134E8374" w14:textId="77777777" w:rsidR="00112663" w:rsidRPr="00645BBC" w:rsidRDefault="00000000">
            <w:pPr>
              <w:rPr>
                <w:rFonts w:ascii="Calibri" w:hAnsi="Calibri" w:cs="Calibri"/>
                <w:sz w:val="24"/>
                <w:szCs w:val="24"/>
              </w:rPr>
            </w:pPr>
            <w:r>
              <w:rPr>
                <w:rFonts w:ascii="Calibri" w:hAnsi="Calibri" w:cs="Calibri"/>
                <w:b/>
                <w:bCs/>
                <w:sz w:val="24"/>
                <w:szCs w:val="24"/>
              </w:rPr>
              <w:t>Rule-out infection / undifferentiated fever</w:t>
            </w:r>
          </w:p>
        </w:tc>
        <w:tc>
          <w:tcPr>
            <w:tcW w:w="720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4615B5D5" w14:textId="77777777" w:rsidR="00112663" w:rsidRPr="00645BBC" w:rsidRDefault="00000000">
            <w:pPr>
              <w:rPr>
                <w:rFonts w:ascii="Calibri" w:hAnsi="Calibri" w:cs="Calibri"/>
                <w:sz w:val="24"/>
                <w:szCs w:val="24"/>
              </w:rPr>
            </w:pPr>
            <w:r>
              <w:rPr>
                <w:rFonts w:ascii="Calibri" w:hAnsi="Calibri" w:cs="Calibri"/>
                <w:sz w:val="24"/>
                <w:szCs w:val="24"/>
              </w:rPr>
              <w:t>Negative result does not exclude infection. Clinical impact limited to high pretest probability scenarios.</w:t>
            </w:r>
          </w:p>
        </w:tc>
      </w:tr>
      <w:tr w:rsidR="00112663" w:rsidRPr="00645BBC" w14:paraId="72814813"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39009B7B" w14:textId="77777777" w:rsidR="00112663" w:rsidRPr="00645BBC" w:rsidRDefault="00000000">
            <w:pPr>
              <w:rPr>
                <w:rFonts w:ascii="Calibri" w:hAnsi="Calibri" w:cs="Calibri"/>
                <w:sz w:val="24"/>
                <w:szCs w:val="24"/>
              </w:rPr>
            </w:pPr>
            <w:r>
              <w:rPr>
                <w:rFonts w:ascii="Calibri" w:hAnsi="Calibri" w:cs="Calibri"/>
                <w:b/>
                <w:bCs/>
                <w:sz w:val="24"/>
                <w:szCs w:val="24"/>
              </w:rPr>
              <w:t>Confirm a known pathogen</w:t>
            </w:r>
          </w:p>
        </w:tc>
        <w:tc>
          <w:tcPr>
            <w:tcW w:w="720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675993A0" w14:textId="77777777" w:rsidR="00112663" w:rsidRPr="00645BBC" w:rsidRDefault="00000000">
            <w:pPr>
              <w:rPr>
                <w:rFonts w:ascii="Calibri" w:hAnsi="Calibri" w:cs="Calibri"/>
                <w:sz w:val="24"/>
                <w:szCs w:val="24"/>
              </w:rPr>
            </w:pPr>
            <w:r>
              <w:rPr>
                <w:rFonts w:ascii="Calibri" w:hAnsi="Calibri" w:cs="Calibri"/>
                <w:sz w:val="24"/>
                <w:szCs w:val="24"/>
              </w:rPr>
              <w:t>If conventional testing is positive for a likely pathogen, NGS adds no value and should not be ordered.</w:t>
            </w:r>
          </w:p>
        </w:tc>
      </w:tr>
      <w:tr w:rsidR="00112663" w:rsidRPr="00645BBC" w14:paraId="77870DC7"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64B6F0C5" w14:textId="77777777" w:rsidR="00112663" w:rsidRPr="00645BBC" w:rsidRDefault="00000000">
            <w:pPr>
              <w:rPr>
                <w:rFonts w:ascii="Calibri" w:hAnsi="Calibri" w:cs="Calibri"/>
                <w:sz w:val="24"/>
                <w:szCs w:val="24"/>
              </w:rPr>
            </w:pPr>
            <w:r>
              <w:rPr>
                <w:rFonts w:ascii="Calibri" w:hAnsi="Calibri" w:cs="Calibri"/>
                <w:b/>
                <w:bCs/>
                <w:sz w:val="24"/>
                <w:szCs w:val="24"/>
              </w:rPr>
              <w:t>Short empiric course planned (≤14 days)</w:t>
            </w:r>
          </w:p>
        </w:tc>
        <w:tc>
          <w:tcPr>
            <w:tcW w:w="720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593F96BF" w14:textId="3783A850" w:rsidR="00112663" w:rsidRPr="00645BBC" w:rsidRDefault="00000000">
            <w:pPr>
              <w:rPr>
                <w:rFonts w:ascii="Calibri" w:hAnsi="Calibri" w:cs="Calibri"/>
                <w:sz w:val="24"/>
                <w:szCs w:val="24"/>
              </w:rPr>
            </w:pPr>
            <w:r>
              <w:rPr>
                <w:rFonts w:ascii="Calibri" w:hAnsi="Calibri" w:cs="Calibri"/>
                <w:sz w:val="24"/>
                <w:szCs w:val="24"/>
              </w:rPr>
              <w:t>Results will not change management. The ~$1,700 price is not justified.</w:t>
            </w:r>
          </w:p>
        </w:tc>
      </w:tr>
      <w:tr w:rsidR="00112663" w:rsidRPr="00645BBC" w14:paraId="7A808CA2"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132876D1" w14:textId="77777777" w:rsidR="00112663" w:rsidRPr="00645BBC" w:rsidRDefault="00000000">
            <w:pPr>
              <w:rPr>
                <w:rFonts w:ascii="Calibri" w:hAnsi="Calibri" w:cs="Calibri"/>
                <w:sz w:val="24"/>
                <w:szCs w:val="24"/>
              </w:rPr>
            </w:pPr>
            <w:r>
              <w:rPr>
                <w:rFonts w:ascii="Calibri" w:hAnsi="Calibri" w:cs="Calibri"/>
                <w:b/>
                <w:bCs/>
                <w:sz w:val="24"/>
                <w:szCs w:val="24"/>
              </w:rPr>
              <w:t>Serial monitoring / treatment trending</w:t>
            </w:r>
          </w:p>
        </w:tc>
        <w:tc>
          <w:tcPr>
            <w:tcW w:w="720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1262FC95" w14:textId="77777777" w:rsidR="00112663" w:rsidRPr="00645BBC" w:rsidRDefault="00000000">
            <w:pPr>
              <w:rPr>
                <w:rFonts w:ascii="Calibri" w:hAnsi="Calibri" w:cs="Calibri"/>
                <w:sz w:val="24"/>
                <w:szCs w:val="24"/>
              </w:rPr>
            </w:pPr>
            <w:r>
              <w:rPr>
                <w:rFonts w:ascii="Calibri" w:hAnsi="Calibri" w:cs="Calibri"/>
                <w:sz w:val="24"/>
                <w:szCs w:val="24"/>
              </w:rPr>
              <w:t>MPM values cannot be reliably trended; no validated data for serial load monitoring. Repeat testing within 2 months is not indicated unless new clinical illness warrants it.</w:t>
            </w:r>
          </w:p>
        </w:tc>
      </w:tr>
      <w:tr w:rsidR="00112663" w:rsidRPr="00645BBC" w14:paraId="680BF2A4" w14:textId="77777777">
        <w:trPr>
          <w:cantSplit/>
        </w:trPr>
        <w:tc>
          <w:tcPr>
            <w:tcW w:w="288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30A01F02" w14:textId="77777777" w:rsidR="00112663" w:rsidRPr="00645BBC" w:rsidRDefault="00000000">
            <w:pPr>
              <w:rPr>
                <w:rFonts w:ascii="Calibri" w:hAnsi="Calibri" w:cs="Calibri"/>
                <w:sz w:val="24"/>
                <w:szCs w:val="24"/>
              </w:rPr>
            </w:pPr>
            <w:r>
              <w:rPr>
                <w:rFonts w:ascii="Calibri" w:hAnsi="Calibri" w:cs="Calibri"/>
                <w:b/>
                <w:bCs/>
                <w:sz w:val="24"/>
                <w:szCs w:val="24"/>
              </w:rPr>
              <w:t>Evaluation for RNA viruses</w:t>
            </w:r>
          </w:p>
        </w:tc>
        <w:tc>
          <w:tcPr>
            <w:tcW w:w="7200" w:type="dxa"/>
            <w:tcBorders>
              <w:top w:val="single" w:sz="1" w:space="0" w:color="CCCCCC"/>
              <w:left w:val="single" w:sz="1" w:space="0" w:color="CCCCCC"/>
              <w:bottom w:val="single" w:sz="1" w:space="0" w:color="CCCCCC"/>
              <w:right w:val="single" w:sz="1" w:space="0" w:color="CCCCCC"/>
            </w:tcBorders>
            <w:shd w:val="clear" w:color="auto" w:fill="FDEDEC"/>
            <w:tcMar>
              <w:top w:w="100" w:type="dxa"/>
              <w:left w:w="140" w:type="dxa"/>
              <w:bottom w:w="100" w:type="dxa"/>
              <w:right w:w="140" w:type="dxa"/>
            </w:tcMar>
            <w:vAlign w:val="center"/>
          </w:tcPr>
          <w:p w14:paraId="09D268D2" w14:textId="77777777" w:rsidR="00112663" w:rsidRPr="00645BBC" w:rsidRDefault="00000000">
            <w:pPr>
              <w:rPr>
                <w:rFonts w:ascii="Calibri" w:hAnsi="Calibri" w:cs="Calibri"/>
                <w:sz w:val="24"/>
                <w:szCs w:val="24"/>
              </w:rPr>
            </w:pPr>
            <w:r>
              <w:rPr>
                <w:rFonts w:ascii="Calibri" w:hAnsi="Calibri" w:cs="Calibri"/>
                <w:sz w:val="24"/>
                <w:szCs w:val="24"/>
              </w:rPr>
              <w:t>Karius detects cell-free DNA only and cannot detect RNA viruses. This includes HIV, hepatitis C, Zika, SARS-CoV-2, and other coronaviruses. Standard viral PCR or serology must be used for these pathogens.</w:t>
            </w:r>
          </w:p>
        </w:tc>
      </w:tr>
    </w:tbl>
    <w:p w14:paraId="2D6859D1" w14:textId="77777777" w:rsidR="00112663" w:rsidRDefault="00112663">
      <w:pPr>
        <w:rPr>
          <w:rFonts w:ascii="Calibri" w:hAnsi="Calibri" w:cs="Calibri"/>
          <w:sz w:val="24"/>
          <w:szCs w:val="24"/>
        </w:rPr>
      </w:pPr>
    </w:p>
    <w:p w14:paraId="61C8160A" w14:textId="77777777" w:rsidR="00C81C83" w:rsidRDefault="00C81C83">
      <w:pPr>
        <w:rPr>
          <w:rFonts w:ascii="Calibri" w:hAnsi="Calibri" w:cs="Calibri"/>
          <w:sz w:val="24"/>
          <w:szCs w:val="24"/>
        </w:rPr>
      </w:pPr>
    </w:p>
    <w:p w14:paraId="7D82D958" w14:textId="77777777" w:rsidR="00C81C83" w:rsidRDefault="00C81C83">
      <w:pPr>
        <w:rPr>
          <w:rFonts w:ascii="Calibri" w:hAnsi="Calibri" w:cs="Calibri"/>
          <w:sz w:val="24"/>
          <w:szCs w:val="24"/>
        </w:rPr>
      </w:pPr>
    </w:p>
    <w:p w14:paraId="621B8C94" w14:textId="77777777" w:rsidR="00C81C83" w:rsidRDefault="00C81C83">
      <w:pPr>
        <w:rPr>
          <w:rFonts w:ascii="Calibri" w:hAnsi="Calibri" w:cs="Calibri"/>
          <w:sz w:val="24"/>
          <w:szCs w:val="24"/>
        </w:rPr>
      </w:pPr>
    </w:p>
    <w:p w14:paraId="7BDBE35D" w14:textId="77777777" w:rsidR="00C81C83" w:rsidRDefault="00C81C83">
      <w:pPr>
        <w:rPr>
          <w:rFonts w:ascii="Calibri" w:hAnsi="Calibri" w:cs="Calibri"/>
          <w:sz w:val="24"/>
          <w:szCs w:val="24"/>
        </w:rPr>
      </w:pPr>
    </w:p>
    <w:p w14:paraId="687AD504" w14:textId="77777777" w:rsidR="00C81C83" w:rsidRDefault="00C81C83">
      <w:pPr>
        <w:rPr>
          <w:rFonts w:ascii="Calibri" w:hAnsi="Calibri" w:cs="Calibri"/>
          <w:sz w:val="24"/>
          <w:szCs w:val="24"/>
        </w:rPr>
      </w:pPr>
    </w:p>
    <w:p w14:paraId="15F7B6C9" w14:textId="77777777" w:rsidR="00C81C83" w:rsidRDefault="00C81C83">
      <w:pPr>
        <w:rPr>
          <w:rFonts w:ascii="Calibri" w:hAnsi="Calibri" w:cs="Calibri"/>
          <w:sz w:val="24"/>
          <w:szCs w:val="24"/>
        </w:rPr>
      </w:pPr>
    </w:p>
    <w:p w14:paraId="3FECA75A" w14:textId="77777777" w:rsidR="00C81C83" w:rsidRDefault="00C81C83">
      <w:pPr>
        <w:rPr>
          <w:rFonts w:ascii="Calibri" w:hAnsi="Calibri" w:cs="Calibri"/>
          <w:sz w:val="24"/>
          <w:szCs w:val="24"/>
        </w:rPr>
      </w:pPr>
    </w:p>
    <w:p w14:paraId="5D4319EF" w14:textId="77777777" w:rsidR="00C81C83" w:rsidRDefault="00C81C83">
      <w:pPr>
        <w:rPr>
          <w:rFonts w:ascii="Calibri" w:hAnsi="Calibri" w:cs="Calibri"/>
          <w:sz w:val="24"/>
          <w:szCs w:val="24"/>
        </w:rPr>
      </w:pPr>
    </w:p>
    <w:p w14:paraId="1E92B5AD" w14:textId="77777777" w:rsidR="00C81C83" w:rsidRDefault="00C81C83">
      <w:pPr>
        <w:rPr>
          <w:rFonts w:ascii="Calibri" w:hAnsi="Calibri" w:cs="Calibri"/>
          <w:sz w:val="24"/>
          <w:szCs w:val="24"/>
        </w:rPr>
      </w:pPr>
    </w:p>
    <w:p w14:paraId="0FB83E92" w14:textId="77777777" w:rsidR="00C81C83" w:rsidRDefault="00C81C83">
      <w:pPr>
        <w:rPr>
          <w:rFonts w:ascii="Calibri" w:hAnsi="Calibri" w:cs="Calibri"/>
          <w:sz w:val="24"/>
          <w:szCs w:val="24"/>
        </w:rPr>
      </w:pPr>
    </w:p>
    <w:p w14:paraId="36C99AA1" w14:textId="77777777" w:rsidR="00C81C83" w:rsidRDefault="00C81C83">
      <w:pPr>
        <w:rPr>
          <w:rFonts w:ascii="Calibri" w:hAnsi="Calibri" w:cs="Calibri"/>
          <w:sz w:val="24"/>
          <w:szCs w:val="24"/>
        </w:rPr>
      </w:pPr>
    </w:p>
    <w:p w14:paraId="327588A9" w14:textId="77777777" w:rsidR="00C81C83" w:rsidRDefault="00C81C83">
      <w:pPr>
        <w:rPr>
          <w:rFonts w:ascii="Calibri" w:hAnsi="Calibri" w:cs="Calibri"/>
          <w:sz w:val="24"/>
          <w:szCs w:val="24"/>
        </w:rPr>
      </w:pPr>
    </w:p>
    <w:p w14:paraId="7A30200F" w14:textId="77777777" w:rsidR="00C81C83" w:rsidRDefault="00C81C83">
      <w:pPr>
        <w:rPr>
          <w:rFonts w:ascii="Calibri" w:hAnsi="Calibri" w:cs="Calibri"/>
          <w:sz w:val="24"/>
          <w:szCs w:val="24"/>
        </w:rPr>
      </w:pPr>
    </w:p>
    <w:p w14:paraId="07AFBB3C" w14:textId="77777777" w:rsidR="00C81C83" w:rsidRDefault="00C81C83">
      <w:pPr>
        <w:rPr>
          <w:rFonts w:ascii="Calibri" w:hAnsi="Calibri" w:cs="Calibri"/>
          <w:sz w:val="24"/>
          <w:szCs w:val="24"/>
        </w:rPr>
      </w:pPr>
    </w:p>
    <w:p w14:paraId="72F469DF" w14:textId="77777777" w:rsidR="00C81C83" w:rsidRDefault="00C81C83">
      <w:pPr>
        <w:rPr>
          <w:rFonts w:ascii="Calibri" w:hAnsi="Calibri" w:cs="Calibri"/>
          <w:sz w:val="24"/>
          <w:szCs w:val="24"/>
        </w:rPr>
      </w:pPr>
    </w:p>
    <w:p w14:paraId="64CD12F0" w14:textId="77777777" w:rsidR="00C81C83" w:rsidRDefault="00C81C83">
      <w:pPr>
        <w:rPr>
          <w:rFonts w:ascii="Calibri" w:hAnsi="Calibri" w:cs="Calibri"/>
          <w:sz w:val="24"/>
          <w:szCs w:val="24"/>
        </w:rPr>
      </w:pPr>
    </w:p>
    <w:p w14:paraId="38305E45" w14:textId="77777777" w:rsidR="00C81C83" w:rsidRDefault="00C81C83">
      <w:pPr>
        <w:rPr>
          <w:rFonts w:ascii="Calibri" w:hAnsi="Calibri" w:cs="Calibri"/>
          <w:sz w:val="24"/>
          <w:szCs w:val="24"/>
        </w:rPr>
      </w:pPr>
    </w:p>
    <w:p w14:paraId="59133457" w14:textId="77777777" w:rsidR="00C81C83" w:rsidRDefault="00C81C83">
      <w:pPr>
        <w:rPr>
          <w:rFonts w:ascii="Calibri" w:hAnsi="Calibri" w:cs="Calibri"/>
          <w:sz w:val="24"/>
          <w:szCs w:val="24"/>
        </w:rPr>
      </w:pPr>
    </w:p>
    <w:p w14:paraId="36783D86" w14:textId="77777777" w:rsidR="00C81C83" w:rsidRDefault="00C81C83">
      <w:pPr>
        <w:rPr>
          <w:rFonts w:ascii="Calibri" w:hAnsi="Calibri" w:cs="Calibri"/>
          <w:sz w:val="24"/>
          <w:szCs w:val="24"/>
        </w:rPr>
      </w:pPr>
    </w:p>
    <w:p w14:paraId="65550111" w14:textId="77777777" w:rsidR="00C81C83" w:rsidRDefault="00C81C83">
      <w:pPr>
        <w:rPr>
          <w:rFonts w:ascii="Calibri" w:hAnsi="Calibri" w:cs="Calibri"/>
          <w:sz w:val="24"/>
          <w:szCs w:val="24"/>
        </w:rPr>
      </w:pPr>
    </w:p>
    <w:p w14:paraId="497ADFAB" w14:textId="77777777" w:rsidR="00C81C83" w:rsidRDefault="00C81C83">
      <w:pPr>
        <w:rPr>
          <w:rFonts w:ascii="Calibri" w:hAnsi="Calibri" w:cs="Calibri"/>
          <w:sz w:val="24"/>
          <w:szCs w:val="24"/>
        </w:rPr>
      </w:pPr>
    </w:p>
    <w:p w14:paraId="76F01E87" w14:textId="77777777" w:rsidR="00C81C83" w:rsidRDefault="00C81C83">
      <w:pPr>
        <w:rPr>
          <w:rFonts w:ascii="Calibri" w:hAnsi="Calibri" w:cs="Calibri"/>
          <w:sz w:val="24"/>
          <w:szCs w:val="24"/>
        </w:rPr>
      </w:pPr>
    </w:p>
    <w:p w14:paraId="6EF466ED" w14:textId="77777777" w:rsidR="00C81C83" w:rsidRDefault="00C81C83">
      <w:pPr>
        <w:rPr>
          <w:rFonts w:ascii="Calibri" w:hAnsi="Calibri" w:cs="Calibri"/>
          <w:sz w:val="24"/>
          <w:szCs w:val="24"/>
        </w:rPr>
      </w:pPr>
    </w:p>
    <w:p w14:paraId="57291E38" w14:textId="77777777" w:rsidR="00C81C83" w:rsidRDefault="00C81C83">
      <w:pPr>
        <w:rPr>
          <w:rFonts w:ascii="Calibri" w:hAnsi="Calibri" w:cs="Calibri"/>
          <w:sz w:val="24"/>
          <w:szCs w:val="24"/>
        </w:rPr>
      </w:pPr>
    </w:p>
    <w:p w14:paraId="4514D4C1" w14:textId="77777777" w:rsidR="00C81C83" w:rsidRDefault="00C81C83">
      <w:pPr>
        <w:rPr>
          <w:rFonts w:ascii="Calibri" w:hAnsi="Calibri" w:cs="Calibri"/>
          <w:sz w:val="24"/>
          <w:szCs w:val="24"/>
        </w:rPr>
      </w:pPr>
    </w:p>
    <w:p w14:paraId="784EF23B" w14:textId="77777777" w:rsidR="00C81C83" w:rsidRPr="00645BBC" w:rsidRDefault="00C81C83">
      <w:pPr>
        <w:rPr>
          <w:rFonts w:ascii="Calibri" w:hAnsi="Calibri" w:cs="Calibri"/>
          <w:sz w:val="24"/>
          <w:szCs w:val="24"/>
        </w:rPr>
      </w:pPr>
    </w:p>
    <w:p w14:paraId="174A7168" w14:textId="77777777" w:rsidR="00112663" w:rsidRPr="00645BBC" w:rsidRDefault="00000000">
      <w:pPr>
        <w:pStyle w:val="Heading1"/>
        <w:rPr>
          <w:rFonts w:ascii="Calibri" w:hAnsi="Calibri" w:cs="Calibri"/>
          <w:sz w:val="24"/>
          <w:szCs w:val="24"/>
        </w:rPr>
      </w:pPr>
      <w:r>
        <w:rPr>
          <w:rFonts w:ascii="Calibri" w:hAnsi="Calibri" w:cs="Calibri"/>
          <w:sz w:val="24"/>
          <w:szCs w:val="24"/>
        </w:rPr>
        <w:lastRenderedPageBreak/>
        <w:t>Primary References</w:t>
      </w:r>
    </w:p>
    <w:p w14:paraId="1DED6B64" w14:textId="77777777" w:rsidR="00112663" w:rsidRPr="00645BBC" w:rsidRDefault="00000000">
      <w:pPr>
        <w:spacing w:after="280"/>
        <w:rPr>
          <w:rFonts w:ascii="Calibri" w:hAnsi="Calibri" w:cs="Calibri"/>
          <w:sz w:val="24"/>
          <w:szCs w:val="24"/>
        </w:rPr>
      </w:pPr>
      <w:r>
        <w:rPr>
          <w:rFonts w:ascii="Calibri" w:hAnsi="Calibri" w:cs="Calibri"/>
          <w:i/>
          <w:iCs/>
          <w:color w:val="555555"/>
          <w:sz w:val="24"/>
          <w:szCs w:val="24"/>
        </w:rPr>
        <w:t>Peer-reviewed literature supporting clinical indications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400"/>
        <w:gridCol w:w="4180"/>
        <w:gridCol w:w="3000"/>
      </w:tblGrid>
      <w:tr w:rsidR="00112663" w:rsidRPr="00645BBC" w14:paraId="00EEFBBA" w14:textId="77777777">
        <w:trPr>
          <w:tblHeader/>
        </w:trPr>
        <w:tc>
          <w:tcPr>
            <w:tcW w:w="5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383D8F2E" w14:textId="77777777" w:rsidR="00112663" w:rsidRPr="00645BBC" w:rsidRDefault="00000000">
            <w:pPr>
              <w:rPr>
                <w:rFonts w:ascii="Calibri" w:hAnsi="Calibri" w:cs="Calibri"/>
                <w:sz w:val="24"/>
                <w:szCs w:val="24"/>
              </w:rPr>
            </w:pPr>
            <w:r>
              <w:rPr>
                <w:rFonts w:ascii="Calibri" w:hAnsi="Calibri" w:cs="Calibri"/>
                <w:b/>
                <w:bCs/>
                <w:sz w:val="24"/>
                <w:szCs w:val="24"/>
              </w:rPr>
              <w:t>#</w:t>
            </w:r>
          </w:p>
        </w:tc>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2CAAA5DD" w14:textId="77777777" w:rsidR="00112663" w:rsidRPr="00645BBC" w:rsidRDefault="00000000">
            <w:pPr>
              <w:rPr>
                <w:rFonts w:ascii="Calibri" w:hAnsi="Calibri" w:cs="Calibri"/>
                <w:sz w:val="24"/>
                <w:szCs w:val="24"/>
              </w:rPr>
            </w:pPr>
            <w:r>
              <w:rPr>
                <w:rFonts w:ascii="Calibri" w:hAnsi="Calibri" w:cs="Calibri"/>
                <w:b/>
                <w:bCs/>
                <w:sz w:val="24"/>
                <w:szCs w:val="24"/>
              </w:rPr>
              <w:t>Authors</w:t>
            </w:r>
          </w:p>
        </w:tc>
        <w:tc>
          <w:tcPr>
            <w:tcW w:w="418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29A9D412" w14:textId="77777777" w:rsidR="00112663" w:rsidRPr="00645BBC" w:rsidRDefault="00000000">
            <w:pPr>
              <w:rPr>
                <w:rFonts w:ascii="Calibri" w:hAnsi="Calibri" w:cs="Calibri"/>
                <w:sz w:val="24"/>
                <w:szCs w:val="24"/>
              </w:rPr>
            </w:pPr>
            <w:r>
              <w:rPr>
                <w:rFonts w:ascii="Calibri" w:hAnsi="Calibri" w:cs="Calibri"/>
                <w:b/>
                <w:bCs/>
                <w:sz w:val="24"/>
                <w:szCs w:val="24"/>
              </w:rPr>
              <w:t>Title &amp; Journal</w:t>
            </w:r>
          </w:p>
        </w:tc>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vAlign w:val="center"/>
          </w:tcPr>
          <w:p w14:paraId="733986A2" w14:textId="77777777" w:rsidR="00112663" w:rsidRPr="00645BBC" w:rsidRDefault="00000000">
            <w:pPr>
              <w:rPr>
                <w:rFonts w:ascii="Calibri" w:hAnsi="Calibri" w:cs="Calibri"/>
                <w:sz w:val="24"/>
                <w:szCs w:val="24"/>
              </w:rPr>
            </w:pPr>
            <w:r>
              <w:rPr>
                <w:rFonts w:ascii="Calibri" w:hAnsi="Calibri" w:cs="Calibri"/>
                <w:b/>
                <w:bCs/>
                <w:sz w:val="24"/>
                <w:szCs w:val="24"/>
              </w:rPr>
              <w:t>Key Finding</w:t>
            </w:r>
          </w:p>
        </w:tc>
      </w:tr>
      <w:tr w:rsidR="00112663" w:rsidRPr="00645BBC" w14:paraId="55FAF0AC" w14:textId="77777777">
        <w:trPr>
          <w:cantSplit/>
        </w:trPr>
        <w:tc>
          <w:tcPr>
            <w:tcW w:w="5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6B3BC03F" w14:textId="77777777" w:rsidR="00112663" w:rsidRPr="00645BBC" w:rsidRDefault="00000000">
            <w:pPr>
              <w:jc w:val="center"/>
              <w:rPr>
                <w:rFonts w:ascii="Calibri" w:hAnsi="Calibri" w:cs="Calibri"/>
                <w:sz w:val="24"/>
                <w:szCs w:val="24"/>
              </w:rPr>
            </w:pPr>
            <w:r>
              <w:rPr>
                <w:rFonts w:ascii="Calibri" w:hAnsi="Calibri" w:cs="Calibri"/>
                <w:sz w:val="24"/>
                <w:szCs w:val="24"/>
              </w:rPr>
              <w:t>1</w:t>
            </w:r>
          </w:p>
        </w:tc>
        <w:tc>
          <w:tcPr>
            <w:tcW w:w="24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6E4B1B22" w14:textId="77777777" w:rsidR="00112663" w:rsidRPr="00645BBC" w:rsidRDefault="00000000">
            <w:pPr>
              <w:rPr>
                <w:rFonts w:ascii="Calibri" w:hAnsi="Calibri" w:cs="Calibri"/>
                <w:sz w:val="24"/>
                <w:szCs w:val="24"/>
              </w:rPr>
            </w:pPr>
            <w:r>
              <w:rPr>
                <w:rFonts w:ascii="Calibri" w:hAnsi="Calibri" w:cs="Calibri"/>
                <w:sz w:val="24"/>
                <w:szCs w:val="24"/>
              </w:rPr>
              <w:t>Kaur I, Shaw B, Multani A, et al.</w:t>
            </w:r>
          </w:p>
        </w:tc>
        <w:tc>
          <w:tcPr>
            <w:tcW w:w="418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525CE275" w14:textId="77777777" w:rsidR="00112663" w:rsidRPr="00645BBC" w:rsidRDefault="00000000">
            <w:pPr>
              <w:rPr>
                <w:rFonts w:ascii="Calibri" w:hAnsi="Calibri" w:cs="Calibri"/>
                <w:sz w:val="24"/>
                <w:szCs w:val="24"/>
              </w:rPr>
            </w:pPr>
            <w:r>
              <w:rPr>
                <w:rFonts w:ascii="Calibri" w:hAnsi="Calibri" w:cs="Calibri"/>
                <w:sz w:val="24"/>
                <w:szCs w:val="24"/>
              </w:rPr>
              <w:t>Real-World Clinical Impact of Plasma Cell-Free DNA Metagenomic Next-Generation Sequencing Assay. Infection Control and Hospital Epidemiology. 2025.</w:t>
            </w:r>
          </w:p>
        </w:tc>
        <w:tc>
          <w:tcPr>
            <w:tcW w:w="30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50688D20" w14:textId="585BF7ED" w:rsidR="00112663" w:rsidRPr="00645BBC" w:rsidRDefault="00000000">
            <w:pPr>
              <w:rPr>
                <w:rFonts w:ascii="Calibri" w:hAnsi="Calibri" w:cs="Calibri"/>
                <w:sz w:val="24"/>
                <w:szCs w:val="24"/>
              </w:rPr>
            </w:pPr>
            <w:r>
              <w:rPr>
                <w:rFonts w:ascii="Calibri" w:hAnsi="Calibri" w:cs="Calibri"/>
                <w:sz w:val="24"/>
                <w:szCs w:val="24"/>
              </w:rPr>
              <w:t>Largest real-world study. Overall positive clinical impact in 16% of cases. Among adults, strongest impact in culture-negative endocarditis (OR 2.3) and suspected fastidious/zoonotic pathogens (OR 2.1).</w:t>
            </w:r>
            <w:r>
              <w:rPr>
                <w:rFonts w:ascii="Calibri" w:hAnsi="Calibri" w:cs="Calibri"/>
                <w:color w:val="212121"/>
                <w:sz w:val="24"/>
                <w:szCs w:val="24"/>
                <w:shd w:val="clear" w:color="auto" w:fill="FFFFFF"/>
              </w:rPr>
              <w:t xml:space="preserve"> </w:t>
            </w:r>
            <w:r>
              <w:rPr>
                <w:rFonts w:ascii="Calibri" w:hAnsi="Calibri" w:cs="Calibri"/>
                <w:sz w:val="24"/>
                <w:szCs w:val="24"/>
              </w:rPr>
              <w:t xml:space="preserve">No significant predictors of </w:t>
            </w:r>
            <w:r w:rsidR="00C81C83">
              <w:rPr>
                <w:rFonts w:ascii="Calibri" w:hAnsi="Calibri" w:cs="Calibri"/>
                <w:sz w:val="24"/>
                <w:szCs w:val="24"/>
              </w:rPr>
              <w:t>Karius</w:t>
            </w:r>
            <w:r>
              <w:rPr>
                <w:rFonts w:ascii="Calibri" w:hAnsi="Calibri" w:cs="Calibri"/>
                <w:sz w:val="24"/>
                <w:szCs w:val="24"/>
              </w:rPr>
              <w:t xml:space="preserve"> clinical impact were found in pediatric patients.</w:t>
            </w:r>
          </w:p>
        </w:tc>
      </w:tr>
      <w:tr w:rsidR="00112663" w:rsidRPr="00645BBC" w14:paraId="56EECF70" w14:textId="77777777">
        <w:trPr>
          <w:cantSplit/>
        </w:trPr>
        <w:tc>
          <w:tcPr>
            <w:tcW w:w="5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16EFCD7B" w14:textId="77777777" w:rsidR="00112663" w:rsidRPr="00645BBC" w:rsidRDefault="00000000">
            <w:pPr>
              <w:jc w:val="center"/>
              <w:rPr>
                <w:rFonts w:ascii="Calibri" w:hAnsi="Calibri" w:cs="Calibri"/>
                <w:sz w:val="24"/>
                <w:szCs w:val="24"/>
              </w:rPr>
            </w:pPr>
            <w:r>
              <w:rPr>
                <w:rFonts w:ascii="Calibri" w:hAnsi="Calibri" w:cs="Calibri"/>
                <w:sz w:val="24"/>
                <w:szCs w:val="24"/>
              </w:rPr>
              <w:t>2</w:t>
            </w:r>
          </w:p>
        </w:tc>
        <w:tc>
          <w:tcPr>
            <w:tcW w:w="24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08AA96BE" w14:textId="77777777" w:rsidR="00112663" w:rsidRPr="00645BBC" w:rsidRDefault="00000000">
            <w:pPr>
              <w:rPr>
                <w:rFonts w:ascii="Calibri" w:hAnsi="Calibri" w:cs="Calibri"/>
                <w:sz w:val="24"/>
                <w:szCs w:val="24"/>
              </w:rPr>
            </w:pPr>
            <w:r>
              <w:rPr>
                <w:rFonts w:ascii="Calibri" w:hAnsi="Calibri" w:cs="Calibri"/>
                <w:sz w:val="24"/>
                <w:szCs w:val="24"/>
              </w:rPr>
              <w:t>Shishido AA, Noe M, Saharia K, Luethy P.</w:t>
            </w:r>
          </w:p>
        </w:tc>
        <w:tc>
          <w:tcPr>
            <w:tcW w:w="418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1365AD33" w14:textId="77777777" w:rsidR="00112663" w:rsidRPr="00645BBC" w:rsidRDefault="00000000">
            <w:pPr>
              <w:rPr>
                <w:rFonts w:ascii="Calibri" w:hAnsi="Calibri" w:cs="Calibri"/>
                <w:sz w:val="24"/>
                <w:szCs w:val="24"/>
              </w:rPr>
            </w:pPr>
            <w:r>
              <w:rPr>
                <w:rFonts w:ascii="Calibri" w:hAnsi="Calibri" w:cs="Calibri"/>
                <w:sz w:val="24"/>
                <w:szCs w:val="24"/>
              </w:rPr>
              <w:t>Clinical Impact of a Metagenomic Microbial Plasma Cell-Free DNA Next-Generation Sequencing Assay on Treatment Decisions: A Single-Center Retrospective Study. BMC Infectious Diseases. 2022.</w:t>
            </w:r>
          </w:p>
        </w:tc>
        <w:tc>
          <w:tcPr>
            <w:tcW w:w="30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3EB23D84" w14:textId="77777777" w:rsidR="00112663" w:rsidRPr="00645BBC" w:rsidRDefault="00000000">
            <w:pPr>
              <w:rPr>
                <w:rFonts w:ascii="Calibri" w:hAnsi="Calibri" w:cs="Calibri"/>
                <w:sz w:val="24"/>
                <w:szCs w:val="24"/>
              </w:rPr>
            </w:pPr>
            <w:r>
              <w:rPr>
                <w:rFonts w:ascii="Calibri" w:hAnsi="Calibri" w:cs="Calibri"/>
                <w:sz w:val="24"/>
                <w:szCs w:val="24"/>
              </w:rPr>
              <w:t>Positive clinical impact 71.4% in SOT recipients with sepsis; 61.8% in patients on antimicrobials &lt;7 days. Supports early testing before prolonged antibiotic exposure.</w:t>
            </w:r>
          </w:p>
        </w:tc>
      </w:tr>
      <w:tr w:rsidR="00112663" w:rsidRPr="00645BBC" w14:paraId="1F18FB24" w14:textId="77777777">
        <w:trPr>
          <w:cantSplit/>
        </w:trPr>
        <w:tc>
          <w:tcPr>
            <w:tcW w:w="5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2298D767" w14:textId="77777777" w:rsidR="00112663" w:rsidRPr="00645BBC" w:rsidRDefault="00000000">
            <w:pPr>
              <w:jc w:val="center"/>
              <w:rPr>
                <w:rFonts w:ascii="Calibri" w:hAnsi="Calibri" w:cs="Calibri"/>
                <w:sz w:val="24"/>
                <w:szCs w:val="24"/>
              </w:rPr>
            </w:pPr>
            <w:r>
              <w:rPr>
                <w:rFonts w:ascii="Calibri" w:hAnsi="Calibri" w:cs="Calibri"/>
                <w:sz w:val="24"/>
                <w:szCs w:val="24"/>
              </w:rPr>
              <w:t>3</w:t>
            </w:r>
          </w:p>
        </w:tc>
        <w:tc>
          <w:tcPr>
            <w:tcW w:w="24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5C8C4A7B" w14:textId="77777777" w:rsidR="00112663" w:rsidRPr="00645BBC" w:rsidRDefault="00000000">
            <w:pPr>
              <w:rPr>
                <w:rFonts w:ascii="Calibri" w:hAnsi="Calibri" w:cs="Calibri"/>
                <w:sz w:val="24"/>
                <w:szCs w:val="24"/>
              </w:rPr>
            </w:pPr>
            <w:r>
              <w:rPr>
                <w:rFonts w:ascii="Calibri" w:hAnsi="Calibri" w:cs="Calibri"/>
                <w:sz w:val="24"/>
                <w:szCs w:val="24"/>
              </w:rPr>
              <w:t>Benamu E, Gajurel K, Anderson JN, et al.</w:t>
            </w:r>
          </w:p>
        </w:tc>
        <w:tc>
          <w:tcPr>
            <w:tcW w:w="418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0D123624" w14:textId="77777777" w:rsidR="00112663" w:rsidRPr="00645BBC" w:rsidRDefault="00000000">
            <w:pPr>
              <w:rPr>
                <w:rFonts w:ascii="Calibri" w:hAnsi="Calibri" w:cs="Calibri"/>
                <w:sz w:val="24"/>
                <w:szCs w:val="24"/>
              </w:rPr>
            </w:pPr>
            <w:r>
              <w:rPr>
                <w:rFonts w:ascii="Calibri" w:hAnsi="Calibri" w:cs="Calibri"/>
                <w:sz w:val="24"/>
                <w:szCs w:val="24"/>
              </w:rPr>
              <w:t>Plasma Microbial Cell-Free DNA Next-Generation Sequencing in the Diagnosis and Management of Febrile Neutropenia. Clinical Infectious Diseases. 2022.</w:t>
            </w:r>
          </w:p>
        </w:tc>
        <w:tc>
          <w:tcPr>
            <w:tcW w:w="30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0EB3B44F" w14:textId="77777777" w:rsidR="00112663" w:rsidRPr="00645BBC" w:rsidRDefault="00000000">
            <w:pPr>
              <w:rPr>
                <w:rFonts w:ascii="Calibri" w:hAnsi="Calibri" w:cs="Calibri"/>
                <w:sz w:val="24"/>
                <w:szCs w:val="24"/>
              </w:rPr>
            </w:pPr>
            <w:r>
              <w:rPr>
                <w:rFonts w:ascii="Calibri" w:hAnsi="Calibri" w:cs="Calibri"/>
                <w:sz w:val="24"/>
                <w:szCs w:val="24"/>
              </w:rPr>
              <w:t>Prospective study demonstrating 85% sensitivity and 100% specificity in febrile neutropenia. Potential to optimize antimicrobials in 47% of patients, enabling targeted additions and de-escalation.</w:t>
            </w:r>
          </w:p>
        </w:tc>
      </w:tr>
      <w:tr w:rsidR="00112663" w:rsidRPr="00645BBC" w14:paraId="330AB77B" w14:textId="77777777">
        <w:trPr>
          <w:cantSplit/>
        </w:trPr>
        <w:tc>
          <w:tcPr>
            <w:tcW w:w="5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1C674FA6" w14:textId="77777777" w:rsidR="00112663" w:rsidRPr="00645BBC" w:rsidRDefault="00000000">
            <w:pPr>
              <w:jc w:val="center"/>
              <w:rPr>
                <w:rFonts w:ascii="Calibri" w:hAnsi="Calibri" w:cs="Calibri"/>
                <w:sz w:val="24"/>
                <w:szCs w:val="24"/>
              </w:rPr>
            </w:pPr>
            <w:r>
              <w:rPr>
                <w:rFonts w:ascii="Calibri" w:hAnsi="Calibri" w:cs="Calibri"/>
                <w:sz w:val="24"/>
                <w:szCs w:val="24"/>
              </w:rPr>
              <w:t>4</w:t>
            </w:r>
          </w:p>
        </w:tc>
        <w:tc>
          <w:tcPr>
            <w:tcW w:w="24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4267564A" w14:textId="77777777" w:rsidR="00112663" w:rsidRPr="00645BBC" w:rsidRDefault="00000000">
            <w:pPr>
              <w:rPr>
                <w:rFonts w:ascii="Calibri" w:hAnsi="Calibri" w:cs="Calibri"/>
                <w:sz w:val="24"/>
                <w:szCs w:val="24"/>
              </w:rPr>
            </w:pPr>
            <w:r>
              <w:rPr>
                <w:rFonts w:ascii="Calibri" w:hAnsi="Calibri" w:cs="Calibri"/>
                <w:sz w:val="24"/>
                <w:szCs w:val="24"/>
              </w:rPr>
              <w:t>Farnaes L, Wilke J, Ryan Loker K, et al.</w:t>
            </w:r>
          </w:p>
        </w:tc>
        <w:tc>
          <w:tcPr>
            <w:tcW w:w="418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11663D90" w14:textId="77777777" w:rsidR="00112663" w:rsidRPr="00645BBC" w:rsidRDefault="00000000">
            <w:pPr>
              <w:rPr>
                <w:rFonts w:ascii="Calibri" w:hAnsi="Calibri" w:cs="Calibri"/>
                <w:sz w:val="24"/>
                <w:szCs w:val="24"/>
              </w:rPr>
            </w:pPr>
            <w:r>
              <w:rPr>
                <w:rFonts w:ascii="Calibri" w:hAnsi="Calibri" w:cs="Calibri"/>
                <w:sz w:val="24"/>
                <w:szCs w:val="24"/>
              </w:rPr>
              <w:t>Community-Acquired Pneumonia in Children: Cell-Free Plasma Sequencing for Diagnosis and Management. Diagnostic Microbiology and Infectious Disease. 2019.</w:t>
            </w:r>
          </w:p>
        </w:tc>
        <w:tc>
          <w:tcPr>
            <w:tcW w:w="30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1A546746" w14:textId="77777777" w:rsidR="00112663" w:rsidRPr="00645BBC" w:rsidRDefault="00000000">
            <w:pPr>
              <w:rPr>
                <w:rFonts w:ascii="Calibri" w:hAnsi="Calibri" w:cs="Calibri"/>
                <w:sz w:val="24"/>
                <w:szCs w:val="24"/>
              </w:rPr>
            </w:pPr>
            <w:r>
              <w:rPr>
                <w:rFonts w:ascii="Calibri" w:hAnsi="Calibri" w:cs="Calibri"/>
                <w:sz w:val="24"/>
                <w:szCs w:val="24"/>
              </w:rPr>
              <w:t>Pediatric CAP cohort: Karius identified a causative pathogen in 73% of cases vs. 43% by conventional testing. Results led to antibiotic changes in 64% of patients, including de-escalation and targeted therapy.</w:t>
            </w:r>
          </w:p>
        </w:tc>
      </w:tr>
      <w:tr w:rsidR="0013024B" w:rsidRPr="00645BBC" w14:paraId="6CBED7CA" w14:textId="77777777">
        <w:trPr>
          <w:cantSplit/>
        </w:trPr>
        <w:tc>
          <w:tcPr>
            <w:tcW w:w="5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0B11C290" w14:textId="16A32B53" w:rsidR="0013024B" w:rsidRPr="00645BBC" w:rsidRDefault="0013024B">
            <w:pPr>
              <w:jc w:val="center"/>
              <w:rPr>
                <w:rFonts w:ascii="Calibri" w:hAnsi="Calibri" w:cs="Calibri"/>
                <w:sz w:val="24"/>
                <w:szCs w:val="24"/>
              </w:rPr>
            </w:pPr>
            <w:r>
              <w:rPr>
                <w:rFonts w:ascii="Calibri" w:hAnsi="Calibri" w:cs="Calibri"/>
                <w:sz w:val="24"/>
                <w:szCs w:val="24"/>
              </w:rPr>
              <w:lastRenderedPageBreak/>
              <w:t>5</w:t>
            </w:r>
          </w:p>
        </w:tc>
        <w:tc>
          <w:tcPr>
            <w:tcW w:w="24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4361C2FD" w14:textId="3165720A" w:rsidR="0013024B" w:rsidRPr="00645BBC" w:rsidRDefault="00282F2E">
            <w:pPr>
              <w:rPr>
                <w:rFonts w:ascii="Calibri" w:hAnsi="Calibri" w:cs="Calibri"/>
                <w:sz w:val="24"/>
                <w:szCs w:val="24"/>
              </w:rPr>
            </w:pPr>
            <w:r>
              <w:rPr>
                <w:rFonts w:ascii="Calibri" w:hAnsi="Calibri" w:cs="Calibri"/>
                <w:sz w:val="24"/>
                <w:szCs w:val="24"/>
              </w:rPr>
              <w:t xml:space="preserve">Ho E, Liu Y, Olson K, et al. </w:t>
            </w:r>
          </w:p>
        </w:tc>
        <w:tc>
          <w:tcPr>
            <w:tcW w:w="418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2B3E57C1" w14:textId="0AE0CA94" w:rsidR="00282F2E" w:rsidRPr="00645BBC" w:rsidRDefault="00282F2E" w:rsidP="00282F2E">
            <w:pPr>
              <w:rPr>
                <w:rFonts w:ascii="Calibri" w:hAnsi="Calibri" w:cs="Calibri"/>
                <w:sz w:val="24"/>
                <w:szCs w:val="24"/>
              </w:rPr>
            </w:pPr>
            <w:r>
              <w:rPr>
                <w:rFonts w:ascii="Calibri" w:hAnsi="Calibri" w:cs="Calibri"/>
                <w:sz w:val="24"/>
                <w:szCs w:val="24"/>
              </w:rPr>
              <w:t xml:space="preserve">Comparative study of plasma microbial cell-free DNA sequencing to culture and polymerase chain reaction in pediatric community-acquired pneumonia with parapneumonic effusion or empyema. 2026. </w:t>
            </w:r>
          </w:p>
          <w:p w14:paraId="188231FD" w14:textId="77777777" w:rsidR="0013024B" w:rsidRPr="00645BBC" w:rsidRDefault="0013024B">
            <w:pPr>
              <w:rPr>
                <w:rFonts w:ascii="Calibri" w:hAnsi="Calibri" w:cs="Calibri"/>
                <w:sz w:val="24"/>
                <w:szCs w:val="24"/>
              </w:rPr>
            </w:pPr>
          </w:p>
        </w:tc>
        <w:tc>
          <w:tcPr>
            <w:tcW w:w="30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55C474BA" w14:textId="196E41AE" w:rsidR="0013024B" w:rsidRPr="00645BBC" w:rsidRDefault="00282F2E">
            <w:pPr>
              <w:rPr>
                <w:rFonts w:ascii="Calibri" w:hAnsi="Calibri" w:cs="Calibri"/>
                <w:sz w:val="24"/>
                <w:szCs w:val="24"/>
              </w:rPr>
            </w:pPr>
            <w:r>
              <w:rPr>
                <w:rFonts w:ascii="Calibri" w:hAnsi="Calibri" w:cs="Calibri"/>
                <w:sz w:val="24"/>
                <w:szCs w:val="24"/>
              </w:rPr>
              <w:t xml:space="preserve">Retrospective study of pediatric complicated CAP: Karius identified likely pathogen in 86.7% of cases, outperforming blood and pleural fluid cultures. Low-level bacterial mcfDNA detected in 52% of uninfected controls. </w:t>
            </w:r>
          </w:p>
        </w:tc>
      </w:tr>
      <w:tr w:rsidR="00112663" w:rsidRPr="00645BBC" w14:paraId="5B5CD85B" w14:textId="77777777">
        <w:trPr>
          <w:cantSplit/>
        </w:trPr>
        <w:tc>
          <w:tcPr>
            <w:tcW w:w="5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3D2DB55D" w14:textId="02DB2F11" w:rsidR="00112663" w:rsidRPr="00645BBC" w:rsidRDefault="0013024B">
            <w:pPr>
              <w:jc w:val="center"/>
              <w:rPr>
                <w:rFonts w:ascii="Calibri" w:hAnsi="Calibri" w:cs="Calibri"/>
                <w:sz w:val="24"/>
                <w:szCs w:val="24"/>
              </w:rPr>
            </w:pPr>
            <w:r>
              <w:rPr>
                <w:rFonts w:ascii="Calibri" w:hAnsi="Calibri" w:cs="Calibri"/>
                <w:sz w:val="24"/>
                <w:szCs w:val="24"/>
              </w:rPr>
              <w:t>6</w:t>
            </w:r>
          </w:p>
        </w:tc>
        <w:tc>
          <w:tcPr>
            <w:tcW w:w="24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1D9375CC" w14:textId="77777777" w:rsidR="00112663" w:rsidRPr="00645BBC" w:rsidRDefault="00000000">
            <w:pPr>
              <w:rPr>
                <w:rFonts w:ascii="Calibri" w:hAnsi="Calibri" w:cs="Calibri"/>
                <w:sz w:val="24"/>
                <w:szCs w:val="24"/>
              </w:rPr>
            </w:pPr>
            <w:r>
              <w:rPr>
                <w:rFonts w:ascii="Calibri" w:hAnsi="Calibri" w:cs="Calibri"/>
                <w:sz w:val="24"/>
                <w:szCs w:val="24"/>
              </w:rPr>
              <w:t>Park SY, Chang EJ, Ledeboer N, et al.</w:t>
            </w:r>
          </w:p>
        </w:tc>
        <w:tc>
          <w:tcPr>
            <w:tcW w:w="418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3D1AD1C0" w14:textId="77777777" w:rsidR="00112663" w:rsidRPr="00645BBC" w:rsidRDefault="00000000">
            <w:pPr>
              <w:rPr>
                <w:rFonts w:ascii="Calibri" w:hAnsi="Calibri" w:cs="Calibri"/>
                <w:sz w:val="24"/>
                <w:szCs w:val="24"/>
              </w:rPr>
            </w:pPr>
            <w:r>
              <w:rPr>
                <w:rFonts w:ascii="Calibri" w:hAnsi="Calibri" w:cs="Calibri"/>
                <w:sz w:val="24"/>
                <w:szCs w:val="24"/>
              </w:rPr>
              <w:t>Plasma Microbial Cell-Free DNA Sequencing From Over 15,000 Patients Identified a Broad Spectrum of Pathogens. Journal of Clinical Microbiology. 2023.</w:t>
            </w:r>
          </w:p>
        </w:tc>
        <w:tc>
          <w:tcPr>
            <w:tcW w:w="30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48ED86E5" w14:textId="7EB53C76" w:rsidR="00112663" w:rsidRPr="00645BBC" w:rsidRDefault="00000000">
            <w:pPr>
              <w:rPr>
                <w:rFonts w:ascii="Calibri" w:hAnsi="Calibri" w:cs="Calibri"/>
                <w:sz w:val="24"/>
                <w:szCs w:val="24"/>
              </w:rPr>
            </w:pPr>
            <w:r>
              <w:rPr>
                <w:rFonts w:ascii="Calibri" w:hAnsi="Calibri" w:cs="Calibri"/>
                <w:sz w:val="24"/>
                <w:szCs w:val="24"/>
              </w:rPr>
              <w:t>Demonstrates broad pathogen detection capability in large cohort including invasive fungal infections, Mycobacterium, Legionella, dimorphic fungi, and Nocardia.</w:t>
            </w:r>
          </w:p>
        </w:tc>
      </w:tr>
      <w:tr w:rsidR="00112663" w:rsidRPr="00645BBC" w14:paraId="218A6741" w14:textId="77777777">
        <w:trPr>
          <w:cantSplit/>
        </w:trPr>
        <w:tc>
          <w:tcPr>
            <w:tcW w:w="5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13E4FABF" w14:textId="52C94E5E" w:rsidR="00112663" w:rsidRPr="00645BBC" w:rsidRDefault="0013024B">
            <w:pPr>
              <w:jc w:val="center"/>
              <w:rPr>
                <w:rFonts w:ascii="Calibri" w:hAnsi="Calibri" w:cs="Calibri"/>
                <w:sz w:val="24"/>
                <w:szCs w:val="24"/>
              </w:rPr>
            </w:pPr>
            <w:r>
              <w:rPr>
                <w:rFonts w:ascii="Calibri" w:hAnsi="Calibri" w:cs="Calibri"/>
                <w:sz w:val="24"/>
                <w:szCs w:val="24"/>
              </w:rPr>
              <w:t>7</w:t>
            </w:r>
          </w:p>
        </w:tc>
        <w:tc>
          <w:tcPr>
            <w:tcW w:w="24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52742323" w14:textId="77777777" w:rsidR="00112663" w:rsidRPr="00645BBC" w:rsidRDefault="00000000">
            <w:pPr>
              <w:rPr>
                <w:rFonts w:ascii="Calibri" w:hAnsi="Calibri" w:cs="Calibri"/>
                <w:sz w:val="24"/>
                <w:szCs w:val="24"/>
              </w:rPr>
            </w:pPr>
            <w:r>
              <w:rPr>
                <w:rFonts w:ascii="Calibri" w:hAnsi="Calibri" w:cs="Calibri"/>
                <w:sz w:val="24"/>
                <w:szCs w:val="24"/>
              </w:rPr>
              <w:t>Weiss ZF, Pyden AD, Jhaveri TA, Kanjilal S.</w:t>
            </w:r>
          </w:p>
        </w:tc>
        <w:tc>
          <w:tcPr>
            <w:tcW w:w="418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4C74E6EE" w14:textId="77777777" w:rsidR="00112663" w:rsidRPr="00645BBC" w:rsidRDefault="00000000">
            <w:pPr>
              <w:rPr>
                <w:rFonts w:ascii="Calibri" w:hAnsi="Calibri" w:cs="Calibri"/>
                <w:sz w:val="24"/>
                <w:szCs w:val="24"/>
              </w:rPr>
            </w:pPr>
            <w:r>
              <w:rPr>
                <w:rFonts w:ascii="Calibri" w:hAnsi="Calibri" w:cs="Calibri"/>
                <w:sz w:val="24"/>
                <w:szCs w:val="24"/>
              </w:rPr>
              <w:t>The Diagnostic and Clinical Utility of Microbial Cell-Free DNA Sequencing in a Real-World Setting. Diagnostic Microbiology and Infectious Disease. 2023.</w:t>
            </w:r>
          </w:p>
        </w:tc>
        <w:tc>
          <w:tcPr>
            <w:tcW w:w="30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3BCC23E9" w14:textId="77777777" w:rsidR="00112663" w:rsidRPr="00645BBC" w:rsidRDefault="00000000">
            <w:pPr>
              <w:rPr>
                <w:rFonts w:ascii="Calibri" w:hAnsi="Calibri" w:cs="Calibri"/>
                <w:sz w:val="24"/>
                <w:szCs w:val="24"/>
              </w:rPr>
            </w:pPr>
            <w:r>
              <w:rPr>
                <w:rFonts w:ascii="Calibri" w:hAnsi="Calibri" w:cs="Calibri"/>
                <w:sz w:val="24"/>
                <w:szCs w:val="24"/>
              </w:rPr>
              <w:t>Clinical impact positive only in patients with high pretest probability for infection. Not appropriate for rule-out scenarios. Immunocompromised status alone was not reliably associated with positive impact (OR 1.03).</w:t>
            </w:r>
          </w:p>
        </w:tc>
      </w:tr>
      <w:tr w:rsidR="00112663" w:rsidRPr="00645BBC" w14:paraId="2BACC610" w14:textId="77777777">
        <w:trPr>
          <w:cantSplit/>
        </w:trPr>
        <w:tc>
          <w:tcPr>
            <w:tcW w:w="5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55A7F8A3" w14:textId="476CA64D" w:rsidR="00112663" w:rsidRPr="00645BBC" w:rsidRDefault="0013024B">
            <w:pPr>
              <w:jc w:val="center"/>
              <w:rPr>
                <w:rFonts w:ascii="Calibri" w:hAnsi="Calibri" w:cs="Calibri"/>
                <w:sz w:val="24"/>
                <w:szCs w:val="24"/>
              </w:rPr>
            </w:pPr>
            <w:r>
              <w:rPr>
                <w:rFonts w:ascii="Calibri" w:hAnsi="Calibri" w:cs="Calibri"/>
                <w:sz w:val="24"/>
                <w:szCs w:val="24"/>
              </w:rPr>
              <w:t>8</w:t>
            </w:r>
          </w:p>
        </w:tc>
        <w:tc>
          <w:tcPr>
            <w:tcW w:w="24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27FA5EC2" w14:textId="77777777" w:rsidR="00112663" w:rsidRPr="00645BBC" w:rsidRDefault="00000000">
            <w:pPr>
              <w:rPr>
                <w:rFonts w:ascii="Calibri" w:hAnsi="Calibri" w:cs="Calibri"/>
                <w:sz w:val="24"/>
                <w:szCs w:val="24"/>
              </w:rPr>
            </w:pPr>
            <w:r>
              <w:rPr>
                <w:rFonts w:ascii="Calibri" w:hAnsi="Calibri" w:cs="Calibri"/>
                <w:sz w:val="24"/>
                <w:szCs w:val="24"/>
              </w:rPr>
              <w:t>Blauwkamp TA, Thair S, Rosen MJ, et al.</w:t>
            </w:r>
          </w:p>
        </w:tc>
        <w:tc>
          <w:tcPr>
            <w:tcW w:w="418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4B11EE46" w14:textId="77777777" w:rsidR="00112663" w:rsidRPr="00645BBC" w:rsidRDefault="00000000">
            <w:pPr>
              <w:rPr>
                <w:rFonts w:ascii="Calibri" w:hAnsi="Calibri" w:cs="Calibri"/>
                <w:sz w:val="24"/>
                <w:szCs w:val="24"/>
              </w:rPr>
            </w:pPr>
            <w:r>
              <w:rPr>
                <w:rFonts w:ascii="Calibri" w:hAnsi="Calibri" w:cs="Calibri"/>
                <w:sz w:val="24"/>
                <w:szCs w:val="24"/>
              </w:rPr>
              <w:t>Analytical and Clinical Validation of a Microbial Cell-Free DNA Sequencing Test for Infectious Disease. Nature Microbiology. 2019.</w:t>
            </w:r>
          </w:p>
        </w:tc>
        <w:tc>
          <w:tcPr>
            <w:tcW w:w="30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09EEDD4F" w14:textId="77777777" w:rsidR="00112663" w:rsidRPr="00645BBC" w:rsidRDefault="00000000">
            <w:pPr>
              <w:rPr>
                <w:rFonts w:ascii="Calibri" w:hAnsi="Calibri" w:cs="Calibri"/>
                <w:sz w:val="24"/>
                <w:szCs w:val="24"/>
              </w:rPr>
            </w:pPr>
            <w:r>
              <w:rPr>
                <w:rFonts w:ascii="Calibri" w:hAnsi="Calibri" w:cs="Calibri"/>
                <w:sz w:val="24"/>
                <w:szCs w:val="24"/>
              </w:rPr>
              <w:t>Foundational validation study. 53.7% of tests detect organisms that may represent commensal flora or incidental findings, underscoring the need for careful clinical interpretation.</w:t>
            </w:r>
          </w:p>
        </w:tc>
      </w:tr>
      <w:tr w:rsidR="00112663" w:rsidRPr="00645BBC" w14:paraId="2F1EC50A" w14:textId="77777777">
        <w:trPr>
          <w:cantSplit/>
        </w:trPr>
        <w:tc>
          <w:tcPr>
            <w:tcW w:w="5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1E372DA7" w14:textId="37AFFD90" w:rsidR="00112663" w:rsidRPr="00645BBC" w:rsidRDefault="0013024B">
            <w:pPr>
              <w:jc w:val="center"/>
              <w:rPr>
                <w:rFonts w:ascii="Calibri" w:hAnsi="Calibri" w:cs="Calibri"/>
                <w:sz w:val="24"/>
                <w:szCs w:val="24"/>
              </w:rPr>
            </w:pPr>
            <w:r>
              <w:rPr>
                <w:rFonts w:ascii="Calibri" w:hAnsi="Calibri" w:cs="Calibri"/>
                <w:sz w:val="24"/>
                <w:szCs w:val="24"/>
              </w:rPr>
              <w:lastRenderedPageBreak/>
              <w:t>9</w:t>
            </w:r>
          </w:p>
        </w:tc>
        <w:tc>
          <w:tcPr>
            <w:tcW w:w="24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45DF3157" w14:textId="77777777" w:rsidR="00112663" w:rsidRPr="00645BBC" w:rsidRDefault="00000000">
            <w:pPr>
              <w:rPr>
                <w:rFonts w:ascii="Calibri" w:hAnsi="Calibri" w:cs="Calibri"/>
                <w:sz w:val="24"/>
                <w:szCs w:val="24"/>
              </w:rPr>
            </w:pPr>
            <w:r>
              <w:rPr>
                <w:rFonts w:ascii="Calibri" w:hAnsi="Calibri" w:cs="Calibri"/>
                <w:sz w:val="24"/>
                <w:szCs w:val="24"/>
              </w:rPr>
              <w:t>Huygens S, Schauwvlieghe A, Wlazlo N, et al.</w:t>
            </w:r>
          </w:p>
        </w:tc>
        <w:tc>
          <w:tcPr>
            <w:tcW w:w="418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1E74AFFF" w14:textId="77777777" w:rsidR="00112663" w:rsidRPr="00645BBC" w:rsidRDefault="00000000">
            <w:pPr>
              <w:rPr>
                <w:rFonts w:ascii="Calibri" w:hAnsi="Calibri" w:cs="Calibri"/>
                <w:sz w:val="24"/>
                <w:szCs w:val="24"/>
              </w:rPr>
            </w:pPr>
            <w:r>
              <w:rPr>
                <w:rFonts w:ascii="Calibri" w:hAnsi="Calibri" w:cs="Calibri"/>
                <w:sz w:val="24"/>
                <w:szCs w:val="24"/>
              </w:rPr>
              <w:t>Diagnostic Value of Microbial Cell-free DNA Sequencing for Suspected Invasive Fungal Infections: A Retrospective Multicenter Cohort Study. Open Forum Infect Dis. 2024.</w:t>
            </w:r>
          </w:p>
        </w:tc>
        <w:tc>
          <w:tcPr>
            <w:tcW w:w="300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vAlign w:val="center"/>
          </w:tcPr>
          <w:p w14:paraId="7D9097DC" w14:textId="7972E8EE" w:rsidR="00112663" w:rsidRPr="00645BBC" w:rsidRDefault="00000000">
            <w:pPr>
              <w:rPr>
                <w:rFonts w:ascii="Calibri" w:hAnsi="Calibri" w:cs="Calibri"/>
                <w:sz w:val="24"/>
                <w:szCs w:val="24"/>
              </w:rPr>
            </w:pPr>
            <w:r>
              <w:rPr>
                <w:rFonts w:ascii="Calibri" w:hAnsi="Calibri" w:cs="Calibri"/>
                <w:sz w:val="24"/>
                <w:szCs w:val="24"/>
              </w:rPr>
              <w:t>Multicenter retrospective cohort evaluating Karius in suspected IFI. Sensitivity was higher for molds other than Aspergillus, supporting use when a time-sensitive diagnosis is needed and biopsy is not feasible, while confirming reduced sensitivity for Aspergillus.</w:t>
            </w:r>
          </w:p>
        </w:tc>
      </w:tr>
    </w:tbl>
    <w:p w14:paraId="4A79DCAF" w14:textId="77777777" w:rsidR="00B13B4E" w:rsidRPr="00645BBC" w:rsidRDefault="00B13B4E">
      <w:pPr>
        <w:rPr>
          <w:rFonts w:ascii="Calibri" w:hAnsi="Calibri" w:cs="Calibri"/>
          <w:sz w:val="24"/>
          <w:szCs w:val="24"/>
        </w:rPr>
      </w:pPr>
    </w:p>
    <w:sectPr w:rsidR="00B13B4E" w:rsidRPr="00645BBC">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727DF2" w14:textId="77777777" w:rsidR="002B4815" w:rsidRDefault="002B4815">
      <w:r>
        <w:separator/>
      </w:r>
    </w:p>
  </w:endnote>
  <w:endnote w:type="continuationSeparator" w:id="0">
    <w:p w14:paraId="64C77F71" w14:textId="77777777" w:rsidR="002B4815" w:rsidRDefault="002B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A2201" w14:textId="77777777" w:rsidR="00112663" w:rsidRDefault="00000000">
    <w:pPr>
      <w:jc w:val="center"/>
    </w:pPr>
    <w:r>
      <w:rPr>
        <w:color w:val="555555"/>
        <w:sz w:val="16"/>
        <w:szCs w:val="16"/>
      </w:rPr>
      <w:t xml:space="preserve">Page </w:t>
    </w:r>
    <w:r>
      <w:rPr>
        <w:color w:val="555555"/>
        <w:sz w:val="16"/>
        <w:szCs w:val="16"/>
      </w:rPr>
      <w:fldChar w:fldCharType="begin"/>
    </w:r>
    <w:r>
      <w:rPr>
        <w:color w:val="555555"/>
        <w:sz w:val="16"/>
        <w:szCs w:val="16"/>
      </w:rPr>
      <w:instrText>PAGE</w:instrText>
    </w:r>
    <w:r>
      <w:rPr>
        <w:color w:val="555555"/>
        <w:sz w:val="16"/>
        <w:szCs w:val="16"/>
      </w:rPr>
      <w:fldChar w:fldCharType="separate"/>
    </w:r>
    <w:r w:rsidR="00DE360B">
      <w:rPr>
        <w:noProof/>
        <w:color w:val="555555"/>
        <w:sz w:val="16"/>
        <w:szCs w:val="16"/>
      </w:rPr>
      <w:t>1</w:t>
    </w:r>
    <w:r>
      <w:rPr>
        <w:color w:val="555555"/>
        <w:sz w:val="16"/>
        <w:szCs w:val="16"/>
      </w:rPr>
      <w:fldChar w:fldCharType="end"/>
    </w:r>
    <w:r>
      <w:rPr>
        <w:color w:val="555555"/>
        <w:sz w:val="16"/>
        <w:szCs w:val="16"/>
      </w:rPr>
      <w:t xml:space="preserve"> of </w:t>
    </w:r>
    <w:r>
      <w:rPr>
        <w:color w:val="555555"/>
        <w:sz w:val="16"/>
        <w:szCs w:val="16"/>
      </w:rPr>
      <w:fldChar w:fldCharType="begin"/>
    </w:r>
    <w:r>
      <w:rPr>
        <w:color w:val="555555"/>
        <w:sz w:val="16"/>
        <w:szCs w:val="16"/>
      </w:rPr>
      <w:instrText>NUMPAGES</w:instrText>
    </w:r>
    <w:r>
      <w:rPr>
        <w:color w:val="555555"/>
        <w:sz w:val="16"/>
        <w:szCs w:val="16"/>
      </w:rPr>
      <w:fldChar w:fldCharType="separate"/>
    </w:r>
    <w:r w:rsidR="00DE360B">
      <w:rPr>
        <w:noProof/>
        <w:color w:val="555555"/>
        <w:sz w:val="16"/>
        <w:szCs w:val="16"/>
      </w:rPr>
      <w:t>2</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7EB837" w14:textId="77777777" w:rsidR="002B4815" w:rsidRDefault="002B4815">
      <w:r>
        <w:separator/>
      </w:r>
    </w:p>
  </w:footnote>
  <w:footnote w:type="continuationSeparator" w:id="0">
    <w:p w14:paraId="0D0A73DF" w14:textId="77777777" w:rsidR="002B4815" w:rsidRDefault="002B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55856" w14:textId="249E1733" w:rsidR="00112663" w:rsidRDefault="00112663">
    <w:pPr>
      <w:pBdr>
        <w:bottom w:val="single" w:sz="4" w:space="4" w:color="CCCCCC"/>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25172"/>
    <w:multiLevelType w:val="hybridMultilevel"/>
    <w:tmpl w:val="9000E4CE"/>
    <w:lvl w:ilvl="0" w:tplc="3ED02454">
      <w:start w:val="1"/>
      <w:numFmt w:val="bullet"/>
      <w:lvlText w:val="●"/>
      <w:lvlJc w:val="left"/>
      <w:pPr>
        <w:ind w:left="720" w:hanging="360"/>
      </w:pPr>
    </w:lvl>
    <w:lvl w:ilvl="1" w:tplc="226E5AFA">
      <w:start w:val="1"/>
      <w:numFmt w:val="bullet"/>
      <w:lvlText w:val="○"/>
      <w:lvlJc w:val="left"/>
      <w:pPr>
        <w:ind w:left="1440" w:hanging="360"/>
      </w:pPr>
    </w:lvl>
    <w:lvl w:ilvl="2" w:tplc="A61E3B32">
      <w:start w:val="1"/>
      <w:numFmt w:val="bullet"/>
      <w:lvlText w:val="■"/>
      <w:lvlJc w:val="left"/>
      <w:pPr>
        <w:ind w:left="2160" w:hanging="360"/>
      </w:pPr>
    </w:lvl>
    <w:lvl w:ilvl="3" w:tplc="6E52A328">
      <w:start w:val="1"/>
      <w:numFmt w:val="bullet"/>
      <w:lvlText w:val="●"/>
      <w:lvlJc w:val="left"/>
      <w:pPr>
        <w:ind w:left="2880" w:hanging="360"/>
      </w:pPr>
    </w:lvl>
    <w:lvl w:ilvl="4" w:tplc="D1DA396E">
      <w:start w:val="1"/>
      <w:numFmt w:val="bullet"/>
      <w:lvlText w:val="○"/>
      <w:lvlJc w:val="left"/>
      <w:pPr>
        <w:ind w:left="3600" w:hanging="360"/>
      </w:pPr>
    </w:lvl>
    <w:lvl w:ilvl="5" w:tplc="8624766E">
      <w:start w:val="1"/>
      <w:numFmt w:val="bullet"/>
      <w:lvlText w:val="■"/>
      <w:lvlJc w:val="left"/>
      <w:pPr>
        <w:ind w:left="4320" w:hanging="360"/>
      </w:pPr>
    </w:lvl>
    <w:lvl w:ilvl="6" w:tplc="001C720C">
      <w:start w:val="1"/>
      <w:numFmt w:val="bullet"/>
      <w:lvlText w:val="●"/>
      <w:lvlJc w:val="left"/>
      <w:pPr>
        <w:ind w:left="5040" w:hanging="360"/>
      </w:pPr>
    </w:lvl>
    <w:lvl w:ilvl="7" w:tplc="A94E86D0">
      <w:start w:val="1"/>
      <w:numFmt w:val="bullet"/>
      <w:lvlText w:val="●"/>
      <w:lvlJc w:val="left"/>
      <w:pPr>
        <w:ind w:left="5760" w:hanging="360"/>
      </w:pPr>
    </w:lvl>
    <w:lvl w:ilvl="8" w:tplc="41D4CB82">
      <w:start w:val="1"/>
      <w:numFmt w:val="bullet"/>
      <w:lvlText w:val="●"/>
      <w:lvlJc w:val="left"/>
      <w:pPr>
        <w:ind w:left="6480" w:hanging="360"/>
      </w:pPr>
    </w:lvl>
  </w:abstractNum>
  <w:num w:numId="1" w16cid:durableId="10335061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663"/>
    <w:rsid w:val="00112663"/>
    <w:rsid w:val="0013024B"/>
    <w:rsid w:val="00132A44"/>
    <w:rsid w:val="001C5C2C"/>
    <w:rsid w:val="001F6460"/>
    <w:rsid w:val="002703EB"/>
    <w:rsid w:val="00273ECA"/>
    <w:rsid w:val="00282F2E"/>
    <w:rsid w:val="00291427"/>
    <w:rsid w:val="002B4815"/>
    <w:rsid w:val="002F2B3D"/>
    <w:rsid w:val="003240F8"/>
    <w:rsid w:val="005B248E"/>
    <w:rsid w:val="00645BBC"/>
    <w:rsid w:val="006F1D74"/>
    <w:rsid w:val="006F417C"/>
    <w:rsid w:val="007F2EB4"/>
    <w:rsid w:val="00855EAC"/>
    <w:rsid w:val="00A71FC4"/>
    <w:rsid w:val="00B13B4E"/>
    <w:rsid w:val="00C81C83"/>
    <w:rsid w:val="00DE360B"/>
    <w:rsid w:val="00E208F4"/>
    <w:rsid w:val="00E708D3"/>
    <w:rsid w:val="00EB2713"/>
    <w:rsid w:val="00FA4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816B76"/>
  <w15:docId w15:val="{F25EC18B-FEB2-FB41-B4F5-D8CDC84C5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color w:val="1A1A1A"/>
      <w:sz w:val="32"/>
      <w:szCs w:val="32"/>
    </w:rPr>
  </w:style>
  <w:style w:type="paragraph" w:styleId="Heading2">
    <w:name w:val="heading 2"/>
    <w:uiPriority w:val="9"/>
    <w:semiHidden/>
    <w:unhideWhenUsed/>
    <w:qFormat/>
    <w:pPr>
      <w:spacing w:before="360" w:after="160"/>
      <w:outlineLvl w:val="1"/>
    </w:pPr>
    <w:rPr>
      <w:b/>
      <w:bCs/>
      <w:color w:val="1A1A1A"/>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71FC4"/>
    <w:pPr>
      <w:tabs>
        <w:tab w:val="center" w:pos="4680"/>
        <w:tab w:val="right" w:pos="9360"/>
      </w:tabs>
    </w:pPr>
  </w:style>
  <w:style w:type="character" w:customStyle="1" w:styleId="HeaderChar">
    <w:name w:val="Header Char"/>
    <w:basedOn w:val="DefaultParagraphFont"/>
    <w:link w:val="Header"/>
    <w:uiPriority w:val="99"/>
    <w:rsid w:val="00A71FC4"/>
  </w:style>
  <w:style w:type="paragraph" w:styleId="Footer">
    <w:name w:val="footer"/>
    <w:basedOn w:val="Normal"/>
    <w:link w:val="FooterChar"/>
    <w:uiPriority w:val="99"/>
    <w:unhideWhenUsed/>
    <w:rsid w:val="00A71FC4"/>
    <w:pPr>
      <w:tabs>
        <w:tab w:val="center" w:pos="4680"/>
        <w:tab w:val="right" w:pos="9360"/>
      </w:tabs>
    </w:pPr>
  </w:style>
  <w:style w:type="character" w:customStyle="1" w:styleId="FooterChar">
    <w:name w:val="Footer Char"/>
    <w:basedOn w:val="DefaultParagraphFont"/>
    <w:link w:val="Footer"/>
    <w:uiPriority w:val="99"/>
    <w:rsid w:val="00A71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8893531">
      <w:bodyDiv w:val="1"/>
      <w:marLeft w:val="0"/>
      <w:marRight w:val="0"/>
      <w:marTop w:val="0"/>
      <w:marBottom w:val="0"/>
      <w:divBdr>
        <w:top w:val="none" w:sz="0" w:space="0" w:color="auto"/>
        <w:left w:val="none" w:sz="0" w:space="0" w:color="auto"/>
        <w:bottom w:val="none" w:sz="0" w:space="0" w:color="auto"/>
        <w:right w:val="none" w:sz="0" w:space="0" w:color="auto"/>
      </w:divBdr>
    </w:div>
    <w:div w:id="1628513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Danielle K. Daniels</cp:lastModifiedBy>
  <cp:revision>3</cp:revision>
  <dcterms:created xsi:type="dcterms:W3CDTF">2026-09-09T18:21:00Z</dcterms:created>
  <dcterms:modified xsi:type="dcterms:W3CDTF">2026-09-09T18:23:00Z</dcterms:modified>
</cp:coreProperties>
</file>