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6C0D5A79" w:rsidR="003A7D45" w:rsidRPr="00D508D0" w:rsidRDefault="003A7D45" w:rsidP="0019439A">
      <w:pPr>
        <w:spacing w:after="0" w:line="240" w:lineRule="auto"/>
        <w:jc w:val="center"/>
        <w:rPr>
          <w:rFonts w:ascii="Calibri" w:hAnsi="Calibri" w:cs="Calibri"/>
          <w:b/>
          <w:bCs/>
          <w:sz w:val="40"/>
          <w:szCs w:val="40"/>
        </w:rPr>
      </w:pPr>
      <w:r w:rsidRPr="00D508D0">
        <w:rPr>
          <w:rFonts w:ascii="Calibri" w:hAnsi="Calibri" w:cs="Calibri"/>
          <w:b/>
          <w:bCs/>
          <w:sz w:val="40"/>
          <w:szCs w:val="40"/>
        </w:rPr>
        <w:t>PSYCHIATRY GRAND ROUNDS</w:t>
      </w:r>
      <w:r w:rsidR="009D37D9">
        <w:rPr>
          <w:rFonts w:ascii="Calibri" w:hAnsi="Calibri" w:cs="Calibri"/>
          <w:b/>
          <w:bCs/>
          <w:sz w:val="40"/>
          <w:szCs w:val="40"/>
        </w:rPr>
        <w:t>-JOURNAL CLUB</w:t>
      </w:r>
    </w:p>
    <w:p w14:paraId="6B7CD039" w14:textId="5AEA9EB9"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“Esketamine Monotherapy in Adults with Treatment-Resistant Depression A Randomized Clinical Tria</w:t>
      </w:r>
      <w:r w:rsidR="00AF47ED">
        <w:rPr>
          <w:rFonts w:ascii="Calibri" w:hAnsi="Calibri" w:cs="Calibri"/>
          <w:b/>
          <w:bCs/>
          <w:sz w:val="32"/>
          <w:szCs w:val="32"/>
        </w:rPr>
        <w:t>l”</w:t>
      </w:r>
    </w:p>
    <w:p w14:paraId="7B999B5A" w14:textId="4311444C" w:rsidR="003A7D45" w:rsidRDefault="00AF47ED" w:rsidP="0019439A">
      <w:pPr>
        <w:spacing w:after="0" w:line="240" w:lineRule="auto"/>
        <w:jc w:val="center"/>
        <w:rPr>
          <w:rFonts w:ascii="Calibri" w:hAnsi="Calibri" w:cs="Calibri"/>
          <w:b/>
          <w:bCs/>
          <w:sz w:val="28"/>
          <w:szCs w:val="28"/>
        </w:rPr>
      </w:pPr>
      <w:r>
        <w:rPr>
          <w:rFonts w:ascii="Calibri" w:hAnsi="Calibri" w:cs="Calibri"/>
          <w:b/>
          <w:bCs/>
          <w:sz w:val="28"/>
          <w:szCs w:val="28"/>
        </w:rPr>
        <w:t xml:space="preserve">Nicholas Snyder, MD, Saeed Shaaban, MBBS, and Barbara Armendariz, MD, </w:t>
      </w:r>
      <w:r w:rsidR="006B63E8">
        <w:rPr>
          <w:rFonts w:ascii="Calibri" w:hAnsi="Calibri" w:cs="Calibri"/>
          <w:b/>
          <w:bCs/>
          <w:sz w:val="28"/>
          <w:szCs w:val="28"/>
        </w:rPr>
        <w:t>PGY III Residents, SUNY Upstate Medical University</w:t>
      </w:r>
    </w:p>
    <w:p w14:paraId="7E51E08D" w14:textId="78AFBC57" w:rsidR="00A86DC7" w:rsidRPr="00D508D0" w:rsidRDefault="00A86DC7" w:rsidP="0019439A">
      <w:pPr>
        <w:spacing w:after="0" w:line="240" w:lineRule="auto"/>
        <w:jc w:val="center"/>
        <w:rPr>
          <w:rFonts w:ascii="Calibri" w:hAnsi="Calibri" w:cs="Calibri"/>
          <w:b/>
          <w:bCs/>
          <w:sz w:val="28"/>
          <w:szCs w:val="28"/>
        </w:rPr>
      </w:pPr>
      <w:r>
        <w:rPr>
          <w:rFonts w:ascii="Calibri" w:hAnsi="Calibri" w:cs="Calibri"/>
          <w:b/>
          <w:bCs/>
          <w:sz w:val="28"/>
          <w:szCs w:val="28"/>
        </w:rPr>
        <w:t>Attending: Stephen Faraone, PhD, Distinguished Professor of Psychiatry and Behavioral Sciences and Neuroscience and Physiology, SUNY Upstate Medical University</w:t>
      </w:r>
    </w:p>
    <w:p w14:paraId="6D9EE349" w14:textId="1C69726C" w:rsidR="003A7D45" w:rsidRPr="00D508D0" w:rsidRDefault="005C4AD5" w:rsidP="0019439A">
      <w:pPr>
        <w:spacing w:after="0" w:line="240" w:lineRule="auto"/>
        <w:jc w:val="center"/>
        <w:rPr>
          <w:rFonts w:ascii="Calibri" w:hAnsi="Calibri" w:cs="Calibri"/>
          <w:b/>
          <w:bCs/>
          <w:sz w:val="32"/>
          <w:szCs w:val="32"/>
        </w:rPr>
      </w:pPr>
      <w:r>
        <w:rPr>
          <w:rFonts w:ascii="Calibri" w:hAnsi="Calibri" w:cs="Calibri"/>
          <w:b/>
          <w:bCs/>
          <w:sz w:val="32"/>
          <w:szCs w:val="32"/>
        </w:rPr>
        <w:t>1/22/26</w:t>
      </w:r>
    </w:p>
    <w:p w14:paraId="395A840D" w14:textId="383C0830"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12:30-2:00PM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5B67D6C"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7DA93CAE" w:rsidR="001844AA" w:rsidRDefault="001844AA" w:rsidP="00C9253F">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Review clinical </w:t>
      </w:r>
      <w:r w:rsidR="008E7F18">
        <w:rPr>
          <w:rFonts w:ascii="Calibri" w:hAnsi="Calibri" w:cs="Calibri"/>
          <w:sz w:val="20"/>
          <w:szCs w:val="20"/>
        </w:rPr>
        <w:t>application of esketamine in psychiatry and its role in treatment-resistant depression (TRD).</w:t>
      </w:r>
    </w:p>
    <w:p w14:paraId="012D0978" w14:textId="70829163" w:rsidR="001844AA" w:rsidRDefault="001844AA" w:rsidP="00C9253F">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Discuss the efficacy and safety results of esketamine in TRD compared placebo. </w:t>
      </w:r>
    </w:p>
    <w:p w14:paraId="0D07FC0F" w14:textId="46606EA5" w:rsidR="001844AA" w:rsidRDefault="001844AA" w:rsidP="00C9253F">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025125">
        <w:rPr>
          <w:rFonts w:ascii="Calibri" w:hAnsi="Calibri" w:cs="Calibri"/>
          <w:sz w:val="20"/>
          <w:szCs w:val="20"/>
        </w:rPr>
        <w:t xml:space="preserve">Summarize the clinical implications and limitations of esketamine use in TRD. </w:t>
      </w:r>
    </w:p>
    <w:p w14:paraId="11587AAB" w14:textId="77777777" w:rsidR="00ED67CC" w:rsidRPr="001844AA" w:rsidRDefault="00ED67CC" w:rsidP="00C9253F">
      <w:pPr>
        <w:spacing w:after="0" w:line="240" w:lineRule="auto"/>
        <w:rPr>
          <w:rFonts w:ascii="Calibri" w:hAnsi="Calibri" w:cs="Calibri"/>
          <w:sz w:val="20"/>
          <w:szCs w:val="20"/>
        </w:rPr>
      </w:pPr>
    </w:p>
    <w:p w14:paraId="395ABD3C" w14:textId="77777777" w:rsidR="006E740E" w:rsidRPr="006E740E" w:rsidRDefault="00F9179A" w:rsidP="006E740E">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p>
    <w:p w14:paraId="2EC79FD7" w14:textId="691A747F" w:rsidR="00D508D0" w:rsidRPr="006E740E" w:rsidRDefault="006E740E" w:rsidP="006E740E">
      <w:pPr>
        <w:spacing w:after="0" w:line="240" w:lineRule="auto"/>
        <w:rPr>
          <w:rFonts w:ascii="Calibri" w:hAnsi="Calibri" w:cs="Calibri"/>
          <w:sz w:val="20"/>
          <w:szCs w:val="20"/>
        </w:rPr>
      </w:pPr>
      <w:r w:rsidRPr="006E740E">
        <w:rPr>
          <w:rFonts w:ascii="Calibri" w:hAnsi="Calibri" w:cs="Calibri"/>
          <w:sz w:val="20"/>
          <w:szCs w:val="20"/>
        </w:rPr>
        <w:t xml:space="preserve"> Drs. Snyder, Shaaban, and Armendariz have no relevant financial relationships with ineligible companies. Dr. Stephen Faraone has reported receiving research grants from Massachusetts General Hospital, Otsuka Pharmaceuticals, Oregon Health &amp; Science University, Supernus Pharmaceuticals, the European Commission, and NIH/NIMH. He has received educational grants and support for continuing medical education programs from Collegium Pharmaceuticals, Corium Pharmaceuticals, TRIS Pharmaceuticals, and The Upstate Foundation. His consulting activities include work with Aardvark, Ardwolf, Mentavi/ADHD Online, Ironshore/Collegium, Johnson &amp; Johnson/Kenvue, Medice, Otsuka, and Supernus, with honoraria received for the last two listed. He receives royalties from Elsevier, Guilford Press, and Oxford Press and is an inventor on U.S. Patent US20230217707 A1. He has received travel, accommodations, and expense support from Otsuka and Medicine, and holds stock options in Aardvark and Ardwolf.</w:t>
      </w:r>
    </w:p>
    <w:p w14:paraId="51DD4199" w14:textId="4E5A0F30" w:rsidR="003A7D45" w:rsidRPr="00D508D0" w:rsidRDefault="00D508D0"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Speaker(s)</w:t>
      </w:r>
      <w:r>
        <w:rPr>
          <w:rFonts w:ascii="Calibri" w:hAnsi="Calibri" w:cs="Calibri"/>
          <w:b/>
          <w:bCs/>
          <w:sz w:val="20"/>
          <w:szCs w:val="20"/>
        </w:rPr>
        <w:t xml:space="preserve">: </w:t>
      </w:r>
      <w:r w:rsidR="00025125">
        <w:rPr>
          <w:rFonts w:ascii="Calibri" w:hAnsi="Calibri" w:cs="Calibri"/>
          <w:sz w:val="20"/>
          <w:szCs w:val="20"/>
        </w:rPr>
        <w:t xml:space="preserve">Drs. </w:t>
      </w:r>
      <w:r w:rsidR="006C230E">
        <w:rPr>
          <w:rFonts w:ascii="Calibri" w:hAnsi="Calibri" w:cs="Calibri"/>
          <w:sz w:val="20"/>
          <w:szCs w:val="20"/>
        </w:rPr>
        <w:t xml:space="preserve">Snyder, Shaaban, and Armendariz have </w:t>
      </w:r>
      <w:r w:rsidR="00F9179A" w:rsidRPr="00D508D0">
        <w:rPr>
          <w:rFonts w:ascii="Calibri" w:hAnsi="Calibri" w:cs="Calibri"/>
          <w:sz w:val="20"/>
          <w:szCs w:val="20"/>
        </w:rPr>
        <w:t>no relevant financial relations with ineligible companies.</w:t>
      </w:r>
      <w:r w:rsidR="00F9179A" w:rsidRPr="00D508D0">
        <w:rPr>
          <w:rFonts w:ascii="Calibri" w:hAnsi="Calibri" w:cs="Calibri"/>
          <w:b/>
          <w:bCs/>
          <w:sz w:val="20"/>
          <w:szCs w:val="20"/>
        </w:rPr>
        <w:t xml:space="preserve"> </w:t>
      </w:r>
    </w:p>
    <w:p w14:paraId="1496F531" w14:textId="27BB44A3"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None of the planners have financial relationships with ineligible companies with the exception of Thomas Schwartz who is a consultant for J&amp;J.</w:t>
      </w:r>
      <w:r w:rsidRPr="00D508D0">
        <w:rPr>
          <w:rFonts w:ascii="Calibri" w:hAnsi="Calibri" w:cs="Calibri"/>
          <w:b/>
          <w:bCs/>
          <w:sz w:val="20"/>
          <w:szCs w:val="20"/>
        </w:rPr>
        <w:t xml:space="preserve"> </w:t>
      </w:r>
    </w:p>
    <w:p w14:paraId="2C85FA9C" w14:textId="58E3D86F"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64EB35E5" w14:textId="417BAC0E" w:rsidR="00F9179A" w:rsidRPr="00D508D0"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32DBAB31"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lastRenderedPageBreak/>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3FEA8EC5" w14:textId="34244903" w:rsidR="00F9179A"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7AD45D00" w14:textId="77777777" w:rsidR="0019439A" w:rsidRDefault="0019439A" w:rsidP="00D508D0">
      <w:pPr>
        <w:spacing w:after="0" w:line="240" w:lineRule="auto"/>
        <w:rPr>
          <w:rFonts w:ascii="Calibri" w:hAnsi="Calibri" w:cs="Calibri"/>
          <w:b/>
          <w:bCs/>
          <w:sz w:val="20"/>
          <w:szCs w:val="20"/>
        </w:rPr>
      </w:pPr>
    </w:p>
    <w:p w14:paraId="7AD46ECF" w14:textId="77777777" w:rsidR="0019439A" w:rsidRDefault="0019439A" w:rsidP="00D508D0">
      <w:pPr>
        <w:spacing w:after="0" w:line="240" w:lineRule="auto"/>
        <w:rPr>
          <w:rFonts w:ascii="Calibri" w:hAnsi="Calibri" w:cs="Calibri"/>
          <w:b/>
          <w:bCs/>
          <w:sz w:val="20"/>
          <w:szCs w:val="20"/>
        </w:rPr>
      </w:pPr>
    </w:p>
    <w:p w14:paraId="05A9235D" w14:textId="77777777" w:rsidR="0019439A" w:rsidRPr="00D508D0" w:rsidRDefault="0019439A" w:rsidP="00D508D0">
      <w:pPr>
        <w:spacing w:after="0" w:line="240" w:lineRule="auto"/>
        <w:rPr>
          <w:rFonts w:ascii="Calibri" w:hAnsi="Calibri" w:cs="Calibri"/>
          <w:b/>
          <w:bCs/>
          <w:sz w:val="20"/>
          <w:szCs w:val="20"/>
        </w:rPr>
      </w:pPr>
    </w:p>
    <w:p w14:paraId="1964AC7F" w14:textId="24CFFEEB" w:rsidR="00F9179A" w:rsidRPr="00D508D0" w:rsidRDefault="00D508D0"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inline distT="0" distB="0" distL="0" distR="0" wp14:anchorId="5A733B7C" wp14:editId="40CC973B">
            <wp:extent cx="893445" cy="893445"/>
            <wp:effectExtent l="0" t="0" r="1905" b="1905"/>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930" cy="893930"/>
                    </a:xfrm>
                    <a:prstGeom prst="rect">
                      <a:avLst/>
                    </a:prstGeom>
                    <a:noFill/>
                    <a:ln>
                      <a:noFill/>
                    </a:ln>
                  </pic:spPr>
                </pic:pic>
              </a:graphicData>
            </a:graphic>
          </wp:inline>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CC44" w14:textId="77777777" w:rsidR="003A7D45" w:rsidRDefault="003A7D45" w:rsidP="003A7D45">
      <w:pPr>
        <w:spacing w:after="0" w:line="240" w:lineRule="auto"/>
      </w:pPr>
      <w:r>
        <w:separator/>
      </w:r>
    </w:p>
  </w:endnote>
  <w:endnote w:type="continuationSeparator" w:id="0">
    <w:p w14:paraId="03132BA1" w14:textId="77777777" w:rsidR="003A7D45" w:rsidRDefault="003A7D45"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AEFE" w14:textId="77777777" w:rsidR="003A7D45" w:rsidRDefault="003A7D45" w:rsidP="003A7D45">
      <w:pPr>
        <w:spacing w:after="0" w:line="240" w:lineRule="auto"/>
      </w:pPr>
      <w:r>
        <w:separator/>
      </w:r>
    </w:p>
  </w:footnote>
  <w:footnote w:type="continuationSeparator" w:id="0">
    <w:p w14:paraId="045E8E75" w14:textId="77777777" w:rsidR="003A7D45" w:rsidRDefault="003A7D45"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00544"/>
    <w:rsid w:val="00025125"/>
    <w:rsid w:val="001844AA"/>
    <w:rsid w:val="0019439A"/>
    <w:rsid w:val="00214B50"/>
    <w:rsid w:val="003A7D45"/>
    <w:rsid w:val="004C7A18"/>
    <w:rsid w:val="004F7FC9"/>
    <w:rsid w:val="005810FA"/>
    <w:rsid w:val="005970B9"/>
    <w:rsid w:val="005C4AD5"/>
    <w:rsid w:val="006B63E8"/>
    <w:rsid w:val="006C230E"/>
    <w:rsid w:val="006E740E"/>
    <w:rsid w:val="00721BFA"/>
    <w:rsid w:val="008105E1"/>
    <w:rsid w:val="00851F91"/>
    <w:rsid w:val="00875BA6"/>
    <w:rsid w:val="008E7F18"/>
    <w:rsid w:val="00923241"/>
    <w:rsid w:val="009B7E79"/>
    <w:rsid w:val="009D37D9"/>
    <w:rsid w:val="00A63A25"/>
    <w:rsid w:val="00A86DC7"/>
    <w:rsid w:val="00AF47ED"/>
    <w:rsid w:val="00B13830"/>
    <w:rsid w:val="00C3123C"/>
    <w:rsid w:val="00C9253F"/>
    <w:rsid w:val="00D508D0"/>
    <w:rsid w:val="00ED67CC"/>
    <w:rsid w:val="00F9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8</cp:revision>
  <cp:lastPrinted>2026-01-08T14:30:00Z</cp:lastPrinted>
  <dcterms:created xsi:type="dcterms:W3CDTF">2026-01-13T14:14:00Z</dcterms:created>
  <dcterms:modified xsi:type="dcterms:W3CDTF">2026-01-13T14:20:00Z</dcterms:modified>
</cp:coreProperties>
</file>