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393CEA9E"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1B0EC2">
        <w:rPr>
          <w:rFonts w:ascii="Calibri" w:hAnsi="Calibri" w:cs="Calibri"/>
          <w:b/>
          <w:bCs/>
          <w:sz w:val="32"/>
          <w:szCs w:val="32"/>
        </w:rPr>
        <w:t>Artificial Intelligence in Psychiatry: Clinical Applications, Ethical Challenges, and Implications for Mental Hea</w:t>
      </w:r>
      <w:r w:rsidR="00AB3219">
        <w:rPr>
          <w:rFonts w:ascii="Calibri" w:hAnsi="Calibri" w:cs="Calibri"/>
          <w:b/>
          <w:bCs/>
          <w:sz w:val="32"/>
          <w:szCs w:val="32"/>
        </w:rPr>
        <w:t>lthcare</w:t>
      </w:r>
      <w:r w:rsidR="00AF47ED">
        <w:rPr>
          <w:rFonts w:ascii="Calibri" w:hAnsi="Calibri" w:cs="Calibri"/>
          <w:b/>
          <w:bCs/>
          <w:sz w:val="32"/>
          <w:szCs w:val="32"/>
        </w:rPr>
        <w:t>”</w:t>
      </w:r>
    </w:p>
    <w:p w14:paraId="7B999B5A" w14:textId="6EE15CDD" w:rsidR="003A7D45" w:rsidRPr="00D508D0" w:rsidRDefault="00AB3219" w:rsidP="0019439A">
      <w:pPr>
        <w:spacing w:after="0" w:line="240" w:lineRule="auto"/>
        <w:jc w:val="center"/>
        <w:rPr>
          <w:rFonts w:ascii="Calibri" w:hAnsi="Calibri" w:cs="Calibri"/>
          <w:b/>
          <w:bCs/>
          <w:sz w:val="28"/>
          <w:szCs w:val="28"/>
        </w:rPr>
      </w:pPr>
      <w:r>
        <w:rPr>
          <w:rFonts w:ascii="Calibri" w:hAnsi="Calibri" w:cs="Calibri"/>
          <w:b/>
          <w:bCs/>
          <w:sz w:val="28"/>
          <w:szCs w:val="28"/>
        </w:rPr>
        <w:t>Paul Bailey, MD, Danielle Espinoza</w:t>
      </w:r>
      <w:r w:rsidR="00056F05">
        <w:rPr>
          <w:rFonts w:ascii="Calibri" w:hAnsi="Calibri" w:cs="Calibri"/>
          <w:b/>
          <w:bCs/>
          <w:sz w:val="28"/>
          <w:szCs w:val="28"/>
        </w:rPr>
        <w:t>, MD, and Barbara Armendariz, MD, Psychiatry Residents</w:t>
      </w:r>
      <w:r w:rsidR="00A51BF7">
        <w:rPr>
          <w:rFonts w:ascii="Calibri" w:hAnsi="Calibri" w:cs="Calibri"/>
          <w:b/>
          <w:bCs/>
          <w:sz w:val="28"/>
          <w:szCs w:val="28"/>
        </w:rPr>
        <w:t xml:space="preserve">, </w:t>
      </w:r>
      <w:r w:rsidR="002A4B16">
        <w:rPr>
          <w:rFonts w:ascii="Calibri" w:hAnsi="Calibri" w:cs="Calibri"/>
          <w:b/>
          <w:bCs/>
          <w:sz w:val="28"/>
          <w:szCs w:val="28"/>
        </w:rPr>
        <w:t>SUNY Upstate Medical University</w:t>
      </w:r>
    </w:p>
    <w:p w14:paraId="6D9EE349" w14:textId="56B475E2"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4/2</w:t>
      </w:r>
      <w:r w:rsidR="00056F05">
        <w:rPr>
          <w:rFonts w:ascii="Calibri" w:hAnsi="Calibri" w:cs="Calibri"/>
          <w:b/>
          <w:bCs/>
          <w:sz w:val="32"/>
          <w:szCs w:val="32"/>
        </w:rPr>
        <w:t>3</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3BE02CF2"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A417DA" w:rsidRPr="00A417DA">
        <w:rPr>
          <w:rFonts w:ascii="Calibri" w:hAnsi="Calibri" w:cs="Calibri"/>
          <w:sz w:val="20"/>
          <w:szCs w:val="20"/>
        </w:rPr>
        <w:t>Evaluate current evidence for AI applications in psychiatry, including diagnostic assessment,</w:t>
      </w:r>
      <w:r w:rsidR="00A417DA">
        <w:rPr>
          <w:rFonts w:ascii="Calibri" w:hAnsi="Calibri" w:cs="Calibri"/>
          <w:sz w:val="20"/>
          <w:szCs w:val="20"/>
        </w:rPr>
        <w:t xml:space="preserve"> </w:t>
      </w:r>
      <w:r w:rsidR="00A417DA" w:rsidRPr="00A417DA">
        <w:rPr>
          <w:rFonts w:ascii="Calibri" w:hAnsi="Calibri" w:cs="Calibri"/>
          <w:sz w:val="20"/>
          <w:szCs w:val="20"/>
        </w:rPr>
        <w:t>psychopharmacologic optimization, psychotherapy delivery, and youth-focused interventions.</w:t>
      </w:r>
    </w:p>
    <w:p w14:paraId="012D0978" w14:textId="57F1C675"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265B47" w:rsidRPr="00265B47">
        <w:rPr>
          <w:rFonts w:ascii="Calibri" w:hAnsi="Calibri" w:cs="Calibri"/>
          <w:sz w:val="20"/>
          <w:szCs w:val="20"/>
        </w:rPr>
        <w:t>Describe key clinical use cases of AI in mental healthcare, including early detection, risk prediction, personalized treatment planning, and digital therapeutic tools (e.g., conversational agents).</w:t>
      </w:r>
    </w:p>
    <w:p w14:paraId="3903E9CA" w14:textId="77777777" w:rsidR="008A7717" w:rsidRPr="008A7717" w:rsidRDefault="001844AA" w:rsidP="008A7717">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8A7717" w:rsidRPr="008A7717">
        <w:rPr>
          <w:rFonts w:ascii="Calibri" w:hAnsi="Calibri" w:cs="Calibri"/>
          <w:sz w:val="20"/>
          <w:szCs w:val="20"/>
        </w:rPr>
        <w:t>Identify risks, limitations, and ethical considerations associated with AI use, including algorithmic bias, safety concerns, and regulatory challenges.</w:t>
      </w:r>
    </w:p>
    <w:p w14:paraId="0D07FC0F" w14:textId="7A7DE9A3" w:rsidR="001844AA" w:rsidRDefault="008A7717" w:rsidP="005258F9">
      <w:pPr>
        <w:spacing w:after="0" w:line="240" w:lineRule="auto"/>
        <w:rPr>
          <w:rFonts w:ascii="Calibri" w:hAnsi="Calibri" w:cs="Calibri"/>
          <w:sz w:val="20"/>
          <w:szCs w:val="20"/>
        </w:rPr>
      </w:pPr>
      <w:r>
        <w:rPr>
          <w:rFonts w:ascii="Calibri" w:hAnsi="Calibri" w:cs="Calibri"/>
          <w:sz w:val="20"/>
          <w:szCs w:val="20"/>
        </w:rPr>
        <w:t xml:space="preserve">4. </w:t>
      </w:r>
      <w:r w:rsidRPr="008A7717">
        <w:rPr>
          <w:rFonts w:ascii="Calibri" w:hAnsi="Calibri" w:cs="Calibri"/>
          <w:sz w:val="20"/>
          <w:szCs w:val="20"/>
        </w:rPr>
        <w:t>Apply practical strategies for integrating AI into clinical practice in a safe, ethical, and evidence-informed manner, with attention to both adult and child/adolescent populations.</w:t>
      </w:r>
    </w:p>
    <w:p w14:paraId="6EF8201D" w14:textId="77777777" w:rsidR="00711B51" w:rsidRPr="001844AA" w:rsidRDefault="00711B51" w:rsidP="005258F9">
      <w:pPr>
        <w:spacing w:after="0" w:line="240" w:lineRule="auto"/>
        <w:rPr>
          <w:rFonts w:ascii="Calibri" w:hAnsi="Calibri" w:cs="Calibri"/>
          <w:sz w:val="20"/>
          <w:szCs w:val="20"/>
        </w:rPr>
      </w:pPr>
    </w:p>
    <w:p w14:paraId="17C3CAEB" w14:textId="254EEF86"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253F5B" w:rsidRPr="00302F70">
        <w:rPr>
          <w:rFonts w:ascii="Calibri" w:hAnsi="Calibri" w:cs="Calibri"/>
          <w:sz w:val="20"/>
          <w:szCs w:val="20"/>
        </w:rPr>
        <w:t>Dr</w:t>
      </w:r>
      <w:r w:rsidR="00A31E64">
        <w:rPr>
          <w:rFonts w:ascii="Calibri" w:hAnsi="Calibri" w:cs="Calibri"/>
          <w:sz w:val="20"/>
          <w:szCs w:val="20"/>
        </w:rPr>
        <w:t xml:space="preserve">s. </w:t>
      </w:r>
      <w:r w:rsidR="00FF5328">
        <w:rPr>
          <w:rFonts w:ascii="Calibri" w:hAnsi="Calibri" w:cs="Calibri"/>
          <w:sz w:val="20"/>
          <w:szCs w:val="20"/>
        </w:rPr>
        <w:t>Bailey, Espinoza, and Armendariz</w:t>
      </w:r>
      <w:r w:rsidR="00A31E64">
        <w:rPr>
          <w:rFonts w:ascii="Calibri" w:hAnsi="Calibri" w:cs="Calibri"/>
          <w:sz w:val="20"/>
          <w:szCs w:val="20"/>
        </w:rPr>
        <w:t xml:space="preserve"> have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5AE6193A" w14:textId="77777777" w:rsidR="00187D4B" w:rsidRPr="00187D4B" w:rsidRDefault="00187D4B" w:rsidP="00187D4B">
      <w:pPr>
        <w:pStyle w:val="NoSpacing"/>
        <w:rPr>
          <w:rFonts w:ascii="Calibri" w:hAnsi="Calibri" w:cs="Calibri"/>
          <w:sz w:val="20"/>
          <w:szCs w:val="20"/>
        </w:rPr>
      </w:pPr>
      <w:r w:rsidRPr="00187D4B">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6F7E49E7" w14:textId="77777777" w:rsidR="00187D4B" w:rsidRPr="00D508D0" w:rsidRDefault="00187D4B" w:rsidP="00D508D0">
      <w:pPr>
        <w:spacing w:after="0" w:line="240" w:lineRule="auto"/>
        <w:rPr>
          <w:rFonts w:ascii="Calibri" w:hAnsi="Calibri" w:cs="Calibri"/>
          <w:sz w:val="20"/>
          <w:szCs w:val="20"/>
        </w:rPr>
      </w:pP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lastRenderedPageBreak/>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73F6" w14:textId="77777777" w:rsidR="001C4630" w:rsidRDefault="001C4630" w:rsidP="003A7D45">
      <w:pPr>
        <w:spacing w:after="0" w:line="240" w:lineRule="auto"/>
      </w:pPr>
      <w:r>
        <w:separator/>
      </w:r>
    </w:p>
  </w:endnote>
  <w:endnote w:type="continuationSeparator" w:id="0">
    <w:p w14:paraId="74895F7B" w14:textId="77777777" w:rsidR="001C4630" w:rsidRDefault="001C4630"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DFDA" w14:textId="77777777" w:rsidR="001C4630" w:rsidRDefault="001C4630" w:rsidP="003A7D45">
      <w:pPr>
        <w:spacing w:after="0" w:line="240" w:lineRule="auto"/>
      </w:pPr>
      <w:r>
        <w:separator/>
      </w:r>
    </w:p>
  </w:footnote>
  <w:footnote w:type="continuationSeparator" w:id="0">
    <w:p w14:paraId="732C8DC4" w14:textId="77777777" w:rsidR="001C4630" w:rsidRDefault="001C4630"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56178"/>
    <w:rsid w:val="00056F05"/>
    <w:rsid w:val="000B09E2"/>
    <w:rsid w:val="000B2F24"/>
    <w:rsid w:val="000C1495"/>
    <w:rsid w:val="000D7FCE"/>
    <w:rsid w:val="00112D47"/>
    <w:rsid w:val="00120C8F"/>
    <w:rsid w:val="00125939"/>
    <w:rsid w:val="001844AA"/>
    <w:rsid w:val="00187D4B"/>
    <w:rsid w:val="0019439A"/>
    <w:rsid w:val="001B0EC2"/>
    <w:rsid w:val="001C4630"/>
    <w:rsid w:val="001C5839"/>
    <w:rsid w:val="002034B7"/>
    <w:rsid w:val="00203822"/>
    <w:rsid w:val="002124DA"/>
    <w:rsid w:val="00214B50"/>
    <w:rsid w:val="0023216D"/>
    <w:rsid w:val="00253F5B"/>
    <w:rsid w:val="00262BF3"/>
    <w:rsid w:val="00265B47"/>
    <w:rsid w:val="002662FE"/>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43AE8"/>
    <w:rsid w:val="00444C27"/>
    <w:rsid w:val="0046071A"/>
    <w:rsid w:val="00463710"/>
    <w:rsid w:val="004C7456"/>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92AFF"/>
    <w:rsid w:val="006B63E8"/>
    <w:rsid w:val="006C230E"/>
    <w:rsid w:val="006E646F"/>
    <w:rsid w:val="006E740E"/>
    <w:rsid w:val="00711B51"/>
    <w:rsid w:val="00716527"/>
    <w:rsid w:val="0076794D"/>
    <w:rsid w:val="007A4B03"/>
    <w:rsid w:val="007B5E50"/>
    <w:rsid w:val="007D11E1"/>
    <w:rsid w:val="00801CE2"/>
    <w:rsid w:val="00851F91"/>
    <w:rsid w:val="008678A2"/>
    <w:rsid w:val="00875BA6"/>
    <w:rsid w:val="00893C43"/>
    <w:rsid w:val="008A13EC"/>
    <w:rsid w:val="008A7717"/>
    <w:rsid w:val="008E7F18"/>
    <w:rsid w:val="009141DF"/>
    <w:rsid w:val="00916418"/>
    <w:rsid w:val="00923241"/>
    <w:rsid w:val="009715EB"/>
    <w:rsid w:val="0099313A"/>
    <w:rsid w:val="009A7831"/>
    <w:rsid w:val="009B7E79"/>
    <w:rsid w:val="009D283C"/>
    <w:rsid w:val="009D37D9"/>
    <w:rsid w:val="00A31E64"/>
    <w:rsid w:val="00A417DA"/>
    <w:rsid w:val="00A4255C"/>
    <w:rsid w:val="00A51BF7"/>
    <w:rsid w:val="00A61F0D"/>
    <w:rsid w:val="00A63A25"/>
    <w:rsid w:val="00A86C83"/>
    <w:rsid w:val="00AA2EE1"/>
    <w:rsid w:val="00AB3219"/>
    <w:rsid w:val="00AB34B1"/>
    <w:rsid w:val="00AD4EF5"/>
    <w:rsid w:val="00AE45F6"/>
    <w:rsid w:val="00AF47ED"/>
    <w:rsid w:val="00C052C5"/>
    <w:rsid w:val="00C3123C"/>
    <w:rsid w:val="00C52020"/>
    <w:rsid w:val="00CB2516"/>
    <w:rsid w:val="00CB4495"/>
    <w:rsid w:val="00CC4D7F"/>
    <w:rsid w:val="00CE020F"/>
    <w:rsid w:val="00D13931"/>
    <w:rsid w:val="00D508D0"/>
    <w:rsid w:val="00D653D1"/>
    <w:rsid w:val="00DA667F"/>
    <w:rsid w:val="00DC27AE"/>
    <w:rsid w:val="00E17250"/>
    <w:rsid w:val="00E45896"/>
    <w:rsid w:val="00E55638"/>
    <w:rsid w:val="00E85D5C"/>
    <w:rsid w:val="00E924E8"/>
    <w:rsid w:val="00EB5257"/>
    <w:rsid w:val="00EC2B6A"/>
    <w:rsid w:val="00F1660D"/>
    <w:rsid w:val="00F9179A"/>
    <w:rsid w:val="00F93698"/>
    <w:rsid w:val="00FA0FC9"/>
    <w:rsid w:val="00FC7EBC"/>
    <w:rsid w:val="00FE188E"/>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187D4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4</cp:revision>
  <cp:lastPrinted>2026-01-08T14:30:00Z</cp:lastPrinted>
  <dcterms:created xsi:type="dcterms:W3CDTF">2026-03-23T13:00:00Z</dcterms:created>
  <dcterms:modified xsi:type="dcterms:W3CDTF">2026-03-23T13:17:00Z</dcterms:modified>
</cp:coreProperties>
</file>