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05BF2C3B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4124F8B8" w14:textId="77777777" w:rsidR="00FD25C7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>
        <w:rPr>
          <w:b/>
          <w:sz w:val="28"/>
          <w:szCs w:val="28"/>
        </w:rPr>
        <w:t>Toxicology Tele</w:t>
      </w:r>
      <w:r w:rsidRPr="00DF5278">
        <w:rPr>
          <w:b/>
          <w:sz w:val="28"/>
          <w:szCs w:val="28"/>
        </w:rPr>
        <w:t xml:space="preserve">ECHO </w:t>
      </w:r>
    </w:p>
    <w:p w14:paraId="42667134" w14:textId="38D9F017" w:rsidR="00FD25C7" w:rsidRPr="00BC6F48" w:rsidRDefault="009328ED" w:rsidP="00FD25C7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FF"/>
        </w:rPr>
        <w:t>Old Dog, New Tricks:  A New Approach for Patients with Acetaminophen Toxicity</w:t>
      </w:r>
    </w:p>
    <w:p w14:paraId="6F11A0DE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125561B5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7092165F" w14:textId="0B49627C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Tuesday, </w:t>
      </w:r>
      <w:r w:rsidR="009C30F8">
        <w:rPr>
          <w:b/>
          <w:sz w:val="28"/>
          <w:szCs w:val="28"/>
        </w:rPr>
        <w:t>May 6</w:t>
      </w:r>
      <w:r w:rsidRPr="00DF5278">
        <w:rPr>
          <w:b/>
          <w:sz w:val="28"/>
          <w:szCs w:val="28"/>
        </w:rPr>
        <w:t>, 20</w:t>
      </w:r>
      <w:r>
        <w:rPr>
          <w:b/>
          <w:sz w:val="28"/>
          <w:szCs w:val="28"/>
        </w:rPr>
        <w:t>2</w:t>
      </w:r>
      <w:r w:rsidR="00640C10">
        <w:rPr>
          <w:b/>
          <w:sz w:val="28"/>
          <w:szCs w:val="28"/>
        </w:rPr>
        <w:t>5</w:t>
      </w:r>
    </w:p>
    <w:p w14:paraId="2F712E81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Noon - 1 </w:t>
      </w:r>
      <w:r w:rsidRPr="00DF5278">
        <w:rPr>
          <w:b/>
          <w:sz w:val="28"/>
          <w:szCs w:val="28"/>
        </w:rPr>
        <w:t>PM</w:t>
      </w:r>
    </w:p>
    <w:p w14:paraId="06EBB8F2" w14:textId="77777777" w:rsidR="00FD25C7" w:rsidRDefault="00FD25C7" w:rsidP="00955A8E">
      <w:pPr>
        <w:spacing w:after="0"/>
        <w:rPr>
          <w:b/>
          <w:u w:val="single"/>
        </w:rPr>
      </w:pPr>
    </w:p>
    <w:p w14:paraId="626265E1" w14:textId="3777B872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4A775BE4" w14:textId="58C84D8F" w:rsidR="00C16DEC" w:rsidRPr="00BD1A2B" w:rsidRDefault="00DF5278" w:rsidP="00640C10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9328ED">
        <w:t>William Eggleston, PharmD</w:t>
      </w:r>
    </w:p>
    <w:p w14:paraId="626D332B" w14:textId="39A8A07E" w:rsidR="00E77C7E" w:rsidRDefault="00E77C7E" w:rsidP="00FD25C7">
      <w:pPr>
        <w:spacing w:after="0"/>
      </w:pPr>
    </w:p>
    <w:p w14:paraId="74F0CD1A" w14:textId="21261D80" w:rsidR="008E5C24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0428B281" w14:textId="2D5F4CED" w:rsidR="00FD25C7" w:rsidRDefault="009328ED" w:rsidP="00640C10">
      <w:pPr>
        <w:pStyle w:val="ListParagraph"/>
        <w:numPr>
          <w:ilvl w:val="0"/>
          <w:numId w:val="10"/>
        </w:numPr>
        <w:spacing w:after="0"/>
      </w:pPr>
      <w:r>
        <w:t>Compare the 3-bag and 2-bag n-acetylcysteine intravenous treatment protocols for patients with acetaminophen toxicity.</w:t>
      </w:r>
    </w:p>
    <w:p w14:paraId="5603FA70" w14:textId="2038D014" w:rsidR="009328ED" w:rsidRDefault="009328ED" w:rsidP="00640C10">
      <w:pPr>
        <w:pStyle w:val="ListParagraph"/>
        <w:numPr>
          <w:ilvl w:val="0"/>
          <w:numId w:val="10"/>
        </w:numPr>
        <w:spacing w:after="0"/>
      </w:pPr>
      <w:r>
        <w:t>Describe the role for modified-dose n-acetylcysteine in patients with high-risk acetaminophen toxicity.</w:t>
      </w:r>
    </w:p>
    <w:p w14:paraId="3728AE82" w14:textId="7ECC7C08" w:rsidR="009328ED" w:rsidRDefault="009328ED" w:rsidP="00640C10">
      <w:pPr>
        <w:pStyle w:val="ListParagraph"/>
        <w:numPr>
          <w:ilvl w:val="0"/>
          <w:numId w:val="10"/>
        </w:numPr>
        <w:spacing w:after="0"/>
      </w:pPr>
      <w:r>
        <w:t>Discuss the role for fomepizole in patients at risk for acetaminophen toxicity.</w:t>
      </w:r>
    </w:p>
    <w:p w14:paraId="238BACF0" w14:textId="77777777" w:rsidR="00FD25C7" w:rsidRDefault="00FD25C7" w:rsidP="00FD25C7">
      <w:pPr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77048A79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C16DEC">
        <w:rPr>
          <w:sz w:val="16"/>
          <w:szCs w:val="16"/>
        </w:rPr>
        <w:t>J. Marraffa</w:t>
      </w:r>
      <w:r w:rsidR="001F743E">
        <w:rPr>
          <w:sz w:val="16"/>
          <w:szCs w:val="16"/>
        </w:rPr>
        <w:t>,</w:t>
      </w:r>
      <w:r>
        <w:rPr>
          <w:sz w:val="16"/>
          <w:szCs w:val="16"/>
        </w:rPr>
        <w:t xml:space="preserve"> K. Donovan do not have relevant financial relationships with ineligible companies.  </w:t>
      </w:r>
    </w:p>
    <w:p w14:paraId="3DAA3A84" w14:textId="2A0327D0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 w:rsidR="009328ED">
        <w:rPr>
          <w:sz w:val="16"/>
          <w:szCs w:val="16"/>
        </w:rPr>
        <w:t>W. Eggleston</w:t>
      </w:r>
      <w:r>
        <w:rPr>
          <w:sz w:val="16"/>
          <w:szCs w:val="16"/>
        </w:rPr>
        <w:t xml:space="preserve"> do</w:t>
      </w:r>
      <w:r w:rsidR="00640C10">
        <w:rPr>
          <w:sz w:val="16"/>
          <w:szCs w:val="16"/>
        </w:rPr>
        <w:t>es</w:t>
      </w:r>
      <w:r>
        <w:rPr>
          <w:sz w:val="16"/>
          <w:szCs w:val="16"/>
        </w:rPr>
        <w:t xml:space="preserve"> not have relevant financial relationships with ineligible companies.  </w:t>
      </w:r>
    </w:p>
    <w:p w14:paraId="4693A9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29E415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D9FC0DB" w14:textId="61A61550" w:rsidR="008E5C24" w:rsidRPr="00956B0E" w:rsidRDefault="008E5C24" w:rsidP="00C17C8F">
      <w:pPr>
        <w:spacing w:after="0" w:line="240" w:lineRule="auto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EDFC1" w14:textId="77777777" w:rsidR="000F7899" w:rsidRDefault="000F7899" w:rsidP="00D644F7">
      <w:pPr>
        <w:spacing w:after="0" w:line="240" w:lineRule="auto"/>
      </w:pPr>
      <w:r>
        <w:separator/>
      </w:r>
    </w:p>
  </w:endnote>
  <w:endnote w:type="continuationSeparator" w:id="0">
    <w:p w14:paraId="29E52C75" w14:textId="77777777" w:rsidR="000F7899" w:rsidRDefault="000F7899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D2EA6" w14:textId="77777777" w:rsidR="000F7899" w:rsidRDefault="000F7899" w:rsidP="00D644F7">
      <w:pPr>
        <w:spacing w:after="0" w:line="240" w:lineRule="auto"/>
      </w:pPr>
      <w:r>
        <w:separator/>
      </w:r>
    </w:p>
  </w:footnote>
  <w:footnote w:type="continuationSeparator" w:id="0">
    <w:p w14:paraId="5F5F5D01" w14:textId="77777777" w:rsidR="000F7899" w:rsidRDefault="000F7899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2A4B35"/>
    <w:multiLevelType w:val="hybridMultilevel"/>
    <w:tmpl w:val="C7F8F3D4"/>
    <w:lvl w:ilvl="0" w:tplc="16C601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B484B"/>
    <w:multiLevelType w:val="hybridMultilevel"/>
    <w:tmpl w:val="AA8C6728"/>
    <w:lvl w:ilvl="0" w:tplc="EF18F0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50166">
    <w:abstractNumId w:val="4"/>
  </w:num>
  <w:num w:numId="2" w16cid:durableId="1699164007">
    <w:abstractNumId w:val="9"/>
  </w:num>
  <w:num w:numId="3" w16cid:durableId="487091392">
    <w:abstractNumId w:val="6"/>
  </w:num>
  <w:num w:numId="4" w16cid:durableId="986084329">
    <w:abstractNumId w:val="0"/>
  </w:num>
  <w:num w:numId="5" w16cid:durableId="799764033">
    <w:abstractNumId w:val="7"/>
  </w:num>
  <w:num w:numId="6" w16cid:durableId="2087412681">
    <w:abstractNumId w:val="2"/>
  </w:num>
  <w:num w:numId="7" w16cid:durableId="685256045">
    <w:abstractNumId w:val="1"/>
  </w:num>
  <w:num w:numId="8" w16cid:durableId="703752138">
    <w:abstractNumId w:val="8"/>
  </w:num>
  <w:num w:numId="9" w16cid:durableId="1175151648">
    <w:abstractNumId w:val="3"/>
  </w:num>
  <w:num w:numId="10" w16cid:durableId="15787064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24620"/>
    <w:rsid w:val="0003376E"/>
    <w:rsid w:val="00067171"/>
    <w:rsid w:val="000D74B5"/>
    <w:rsid w:val="000F7899"/>
    <w:rsid w:val="00170FE7"/>
    <w:rsid w:val="00181D15"/>
    <w:rsid w:val="00181D27"/>
    <w:rsid w:val="001964C5"/>
    <w:rsid w:val="001B691F"/>
    <w:rsid w:val="001C1622"/>
    <w:rsid w:val="001F743E"/>
    <w:rsid w:val="00266B34"/>
    <w:rsid w:val="002B06EF"/>
    <w:rsid w:val="002D139B"/>
    <w:rsid w:val="002E4B1E"/>
    <w:rsid w:val="002E7E34"/>
    <w:rsid w:val="003236DB"/>
    <w:rsid w:val="004105B0"/>
    <w:rsid w:val="004D6EEE"/>
    <w:rsid w:val="004E108F"/>
    <w:rsid w:val="0056119D"/>
    <w:rsid w:val="005B22EF"/>
    <w:rsid w:val="005C3DFB"/>
    <w:rsid w:val="005F021B"/>
    <w:rsid w:val="006049AE"/>
    <w:rsid w:val="006262CE"/>
    <w:rsid w:val="00640C10"/>
    <w:rsid w:val="00646B01"/>
    <w:rsid w:val="006F335F"/>
    <w:rsid w:val="00722FEB"/>
    <w:rsid w:val="007304E5"/>
    <w:rsid w:val="00755B43"/>
    <w:rsid w:val="00783E04"/>
    <w:rsid w:val="007D5486"/>
    <w:rsid w:val="007E122E"/>
    <w:rsid w:val="008244B3"/>
    <w:rsid w:val="008273CA"/>
    <w:rsid w:val="0085024B"/>
    <w:rsid w:val="008E5C24"/>
    <w:rsid w:val="009328ED"/>
    <w:rsid w:val="00955A8E"/>
    <w:rsid w:val="00956B0E"/>
    <w:rsid w:val="009602EC"/>
    <w:rsid w:val="0097648D"/>
    <w:rsid w:val="009C30F8"/>
    <w:rsid w:val="00A13C2A"/>
    <w:rsid w:val="00AF5F8A"/>
    <w:rsid w:val="00B44F00"/>
    <w:rsid w:val="00BD0074"/>
    <w:rsid w:val="00BF2E59"/>
    <w:rsid w:val="00C16DEC"/>
    <w:rsid w:val="00C17C8F"/>
    <w:rsid w:val="00C244DE"/>
    <w:rsid w:val="00CC526E"/>
    <w:rsid w:val="00D169A7"/>
    <w:rsid w:val="00D44E28"/>
    <w:rsid w:val="00D56088"/>
    <w:rsid w:val="00D644F7"/>
    <w:rsid w:val="00DA5788"/>
    <w:rsid w:val="00DC5C7D"/>
    <w:rsid w:val="00DF5278"/>
    <w:rsid w:val="00E315D3"/>
    <w:rsid w:val="00E77C7E"/>
    <w:rsid w:val="00EB2CC3"/>
    <w:rsid w:val="00F62033"/>
    <w:rsid w:val="00FA432A"/>
    <w:rsid w:val="00FA6BC2"/>
    <w:rsid w:val="00FD25C7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0246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3</cp:revision>
  <dcterms:created xsi:type="dcterms:W3CDTF">2024-07-18T15:17:00Z</dcterms:created>
  <dcterms:modified xsi:type="dcterms:W3CDTF">2025-04-28T12:42:00Z</dcterms:modified>
</cp:coreProperties>
</file>