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07C12B2D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306DC5">
        <w:rPr>
          <w:b/>
          <w:sz w:val="28"/>
          <w:szCs w:val="28"/>
        </w:rPr>
        <w:t>Cannabis Use Disorder in Primary Practice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482AAD69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306DC5">
        <w:rPr>
          <w:b/>
          <w:sz w:val="28"/>
          <w:szCs w:val="28"/>
        </w:rPr>
        <w:t>December 3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198A67F3" w14:textId="769A99EC" w:rsidR="00196A9F" w:rsidRDefault="00DF5278" w:rsidP="00ED3F2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06DC5">
        <w:t>Raveena Gill, MBBS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16361FA" w14:textId="279E1D6C" w:rsidR="00ED3F20" w:rsidRDefault="00306DC5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Recognize the clinical features and diagnostic criteria of Cannabis Use Disorder (CUD) using DSM-5-TR criteria.</w:t>
      </w:r>
    </w:p>
    <w:p w14:paraId="3B047128" w14:textId="7640FECF" w:rsidR="00306DC5" w:rsidRDefault="00306DC5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Apply the SBIRT (Screening, Brief Intervention, and Referral to Treatment) framework to effectively identify</w:t>
      </w:r>
      <w:r w:rsidR="0087656A">
        <w:rPr>
          <w:rFonts w:ascii="Calibri" w:eastAsia="Times New Roman" w:hAnsi="Calibri" w:cs="Calibri"/>
          <w:color w:val="212121"/>
        </w:rPr>
        <w:t xml:space="preserve"> and address cannabis – related problems in primary care settings.</w:t>
      </w:r>
    </w:p>
    <w:p w14:paraId="58460D19" w14:textId="62BDD2E5" w:rsidR="0087656A" w:rsidRDefault="0087656A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Identify appropriate treatment and referral options for patients with CUD, including behavioral interventions and when to involve addiction specialist.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676A7807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306DC5">
        <w:rPr>
          <w:bCs/>
          <w:sz w:val="16"/>
          <w:szCs w:val="16"/>
        </w:rPr>
        <w:t>R. Gill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96A9F"/>
    <w:rsid w:val="001B691F"/>
    <w:rsid w:val="001C1622"/>
    <w:rsid w:val="00202447"/>
    <w:rsid w:val="00266B34"/>
    <w:rsid w:val="00292845"/>
    <w:rsid w:val="002B06EF"/>
    <w:rsid w:val="002E4B1E"/>
    <w:rsid w:val="002E7E34"/>
    <w:rsid w:val="00306DC5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6E4D16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7656A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ED3F20"/>
    <w:rsid w:val="00F132B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2025-08-05T19:20:00Z</dcterms:created>
  <dcterms:modified xsi:type="dcterms:W3CDTF">2025-08-05T19:20:00Z</dcterms:modified>
</cp:coreProperties>
</file>