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4862" w14:textId="0878A6D2" w:rsidR="004A260C" w:rsidRPr="004A260C" w:rsidRDefault="004A260C" w:rsidP="008B69CC">
      <w:pPr>
        <w:jc w:val="center"/>
        <w:rPr>
          <w:b/>
          <w:sz w:val="28"/>
        </w:rPr>
      </w:pPr>
      <w:r w:rsidRPr="004A260C">
        <w:rPr>
          <w:b/>
          <w:sz w:val="28"/>
        </w:rPr>
        <w:t>Journal Club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9"/>
        <w:gridCol w:w="3450"/>
        <w:gridCol w:w="3451"/>
      </w:tblGrid>
      <w:tr w:rsidR="00125444" w:rsidRPr="00C66C2F" w14:paraId="3845F0D0" w14:textId="77777777" w:rsidTr="00C66C2F">
        <w:tc>
          <w:tcPr>
            <w:tcW w:w="9350" w:type="dxa"/>
            <w:gridSpan w:val="3"/>
            <w:shd w:val="clear" w:color="auto" w:fill="A8D08D" w:themeFill="accent6" w:themeFillTint="99"/>
          </w:tcPr>
          <w:p w14:paraId="6D38D4BB" w14:textId="77777777" w:rsidR="00125444" w:rsidRPr="00C66C2F" w:rsidRDefault="00125444" w:rsidP="00125444">
            <w:pPr>
              <w:jc w:val="center"/>
              <w:rPr>
                <w:rFonts w:cs="Times New Roman"/>
                <w:b/>
                <w:i/>
                <w:sz w:val="28"/>
                <w:szCs w:val="24"/>
              </w:rPr>
            </w:pPr>
            <w:r w:rsidRPr="00C66C2F">
              <w:rPr>
                <w:rFonts w:cs="Times New Roman"/>
                <w:b/>
                <w:i/>
                <w:sz w:val="28"/>
                <w:szCs w:val="24"/>
              </w:rPr>
              <w:t>Background and Overview</w:t>
            </w:r>
          </w:p>
        </w:tc>
      </w:tr>
      <w:tr w:rsidR="00125444" w:rsidRPr="00C66C2F" w14:paraId="39D44BA4" w14:textId="77777777" w:rsidTr="00944BC2">
        <w:tc>
          <w:tcPr>
            <w:tcW w:w="2449" w:type="dxa"/>
          </w:tcPr>
          <w:p w14:paraId="6E341E2C" w14:textId="77777777" w:rsidR="00125444" w:rsidRPr="00C66C2F" w:rsidRDefault="00125444">
            <w:pPr>
              <w:rPr>
                <w:rFonts w:cs="Times New Roman"/>
                <w:b/>
                <w:sz w:val="24"/>
                <w:szCs w:val="24"/>
              </w:rPr>
            </w:pPr>
            <w:r w:rsidRPr="00C66C2F">
              <w:rPr>
                <w:rFonts w:cs="Times New Roman"/>
                <w:b/>
                <w:sz w:val="24"/>
                <w:szCs w:val="24"/>
              </w:rPr>
              <w:t xml:space="preserve">Study Citation </w:t>
            </w:r>
          </w:p>
        </w:tc>
        <w:tc>
          <w:tcPr>
            <w:tcW w:w="6901" w:type="dxa"/>
            <w:gridSpan w:val="2"/>
          </w:tcPr>
          <w:p w14:paraId="60766A2E" w14:textId="232CA2CF" w:rsidR="00125444" w:rsidRPr="00C66C2F" w:rsidRDefault="005D17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Smith LM et al. Angiotensin II for the treatment of refractory shock: a matched analysis</w:t>
            </w:r>
          </w:p>
        </w:tc>
      </w:tr>
      <w:tr w:rsidR="00125444" w:rsidRPr="00C66C2F" w14:paraId="21B23F6D" w14:textId="77777777" w:rsidTr="00944BC2">
        <w:tc>
          <w:tcPr>
            <w:tcW w:w="2449" w:type="dxa"/>
          </w:tcPr>
          <w:p w14:paraId="20669FC2" w14:textId="77777777" w:rsidR="00125444" w:rsidRPr="00C66C2F" w:rsidRDefault="00125444">
            <w:pPr>
              <w:rPr>
                <w:rFonts w:cs="Times New Roman"/>
                <w:b/>
                <w:sz w:val="24"/>
                <w:szCs w:val="24"/>
              </w:rPr>
            </w:pPr>
            <w:r w:rsidRPr="00C66C2F">
              <w:rPr>
                <w:rFonts w:cs="Times New Roman"/>
                <w:b/>
                <w:sz w:val="24"/>
                <w:szCs w:val="24"/>
              </w:rPr>
              <w:t xml:space="preserve">Purpose/Background </w:t>
            </w:r>
          </w:p>
        </w:tc>
        <w:tc>
          <w:tcPr>
            <w:tcW w:w="6901" w:type="dxa"/>
            <w:gridSpan w:val="2"/>
          </w:tcPr>
          <w:p w14:paraId="04CB9F2A" w14:textId="5E4D5A7E" w:rsidR="00125444" w:rsidRDefault="00A8001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Patients with refractory shock</w:t>
            </w:r>
            <w:r w:rsidR="007943DB">
              <w:rPr>
                <w:rFonts w:cs="Times New Roman"/>
                <w:sz w:val="24"/>
                <w:szCs w:val="24"/>
              </w:rPr>
              <w:t xml:space="preserve"> have a high mortality (50% </w:t>
            </w:r>
            <w:proofErr w:type="gramStart"/>
            <w:r w:rsidR="007943DB">
              <w:rPr>
                <w:rFonts w:cs="Times New Roman"/>
                <w:sz w:val="24"/>
                <w:szCs w:val="24"/>
              </w:rPr>
              <w:t>30 day</w:t>
            </w:r>
            <w:proofErr w:type="gramEnd"/>
            <w:r w:rsidR="007943DB">
              <w:rPr>
                <w:rFonts w:cs="Times New Roman"/>
                <w:sz w:val="24"/>
                <w:szCs w:val="24"/>
              </w:rPr>
              <w:t xml:space="preserve"> all-cause mortality)</w:t>
            </w:r>
            <w:r w:rsidR="0003369C">
              <w:rPr>
                <w:rFonts w:cs="Times New Roman"/>
                <w:sz w:val="24"/>
                <w:szCs w:val="24"/>
              </w:rPr>
              <w:t xml:space="preserve"> and current management typically consists of epinephrine/norepinephrine and vasopressin. Recent research has focused on additional agents to augment standard therapy for patients with refractory shock. Angiotensin II </w:t>
            </w:r>
            <w:r w:rsidR="00DA7F43">
              <w:rPr>
                <w:rFonts w:cs="Times New Roman"/>
                <w:sz w:val="24"/>
                <w:szCs w:val="24"/>
              </w:rPr>
              <w:t xml:space="preserve">(AT II) </w:t>
            </w:r>
            <w:r w:rsidR="0003369C">
              <w:rPr>
                <w:rFonts w:cs="Times New Roman"/>
                <w:sz w:val="24"/>
                <w:szCs w:val="24"/>
              </w:rPr>
              <w:t xml:space="preserve">directly </w:t>
            </w:r>
            <w:r w:rsidR="004B115B">
              <w:rPr>
                <w:rFonts w:cs="Times New Roman"/>
                <w:sz w:val="24"/>
                <w:szCs w:val="24"/>
              </w:rPr>
              <w:t xml:space="preserve">agonizes angiotensin receptors in the vasculature, leading to calcium influx and vasoconstriction. </w:t>
            </w:r>
          </w:p>
          <w:p w14:paraId="79C454F6" w14:textId="77777777" w:rsidR="00213B74" w:rsidRDefault="00213B74">
            <w:pPr>
              <w:rPr>
                <w:rFonts w:cs="Times New Roman"/>
                <w:sz w:val="24"/>
                <w:szCs w:val="24"/>
              </w:rPr>
            </w:pPr>
          </w:p>
          <w:p w14:paraId="2B094E3C" w14:textId="77777777" w:rsidR="00213B74" w:rsidRDefault="004B11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The ATHOS-3 trial</w:t>
            </w:r>
            <w:r w:rsidR="000537CE">
              <w:rPr>
                <w:rFonts w:cs="Times New Roman"/>
                <w:sz w:val="24"/>
                <w:szCs w:val="24"/>
              </w:rPr>
              <w:t xml:space="preserve"> was a multicenter RCT evaluating the use of AT</w:t>
            </w:r>
            <w:r w:rsidR="00DA7F43">
              <w:rPr>
                <w:rFonts w:cs="Times New Roman"/>
                <w:sz w:val="24"/>
                <w:szCs w:val="24"/>
              </w:rPr>
              <w:t xml:space="preserve"> II</w:t>
            </w:r>
            <w:r w:rsidR="004D1A5F">
              <w:rPr>
                <w:rFonts w:cs="Times New Roman"/>
                <w:sz w:val="24"/>
                <w:szCs w:val="24"/>
              </w:rPr>
              <w:t xml:space="preserve"> (20 ng/kg/min)</w:t>
            </w:r>
            <w:r w:rsidR="00DA7F43">
              <w:rPr>
                <w:rFonts w:cs="Times New Roman"/>
                <w:sz w:val="24"/>
                <w:szCs w:val="24"/>
              </w:rPr>
              <w:t xml:space="preserve"> in patients with high-output shock requiring high doses of vasopressors</w:t>
            </w:r>
            <w:r w:rsidR="004D1A5F">
              <w:rPr>
                <w:rFonts w:cs="Times New Roman"/>
                <w:sz w:val="24"/>
                <w:szCs w:val="24"/>
              </w:rPr>
              <w:t>.</w:t>
            </w:r>
            <w:r w:rsidR="000C3771">
              <w:rPr>
                <w:rFonts w:cs="Times New Roman"/>
                <w:sz w:val="24"/>
                <w:szCs w:val="24"/>
              </w:rPr>
              <w:t xml:space="preserve"> The dose was titrated to achieve a MAP of </w:t>
            </w:r>
            <w:r w:rsidR="000C3771">
              <w:rPr>
                <w:rFonts w:cstheme="minorHAnsi"/>
                <w:sz w:val="24"/>
                <w:szCs w:val="24"/>
              </w:rPr>
              <w:t>≥</w:t>
            </w:r>
            <w:r w:rsidR="000C3771">
              <w:rPr>
                <w:rFonts w:cs="Times New Roman"/>
                <w:sz w:val="24"/>
                <w:szCs w:val="24"/>
              </w:rPr>
              <w:t xml:space="preserve"> 75 mmHg.</w:t>
            </w:r>
            <w:r w:rsidR="00516F66">
              <w:rPr>
                <w:rFonts w:cs="Times New Roman"/>
                <w:sz w:val="24"/>
                <w:szCs w:val="24"/>
              </w:rPr>
              <w:t xml:space="preserve"> The primary outcome was a MAP </w:t>
            </w:r>
            <w:r w:rsidR="00516F66">
              <w:rPr>
                <w:rFonts w:cstheme="minorHAnsi"/>
                <w:sz w:val="24"/>
                <w:szCs w:val="24"/>
              </w:rPr>
              <w:t>≥</w:t>
            </w:r>
            <w:r w:rsidR="00516F66">
              <w:rPr>
                <w:rFonts w:cs="Times New Roman"/>
                <w:sz w:val="24"/>
                <w:szCs w:val="24"/>
              </w:rPr>
              <w:t xml:space="preserve"> 75 mmHg</w:t>
            </w:r>
            <w:r w:rsidR="00516F66">
              <w:rPr>
                <w:rFonts w:cs="Times New Roman"/>
                <w:sz w:val="24"/>
                <w:szCs w:val="24"/>
              </w:rPr>
              <w:t xml:space="preserve"> or 10 mmHg higher than baseline</w:t>
            </w:r>
            <w:r w:rsidR="00BA4F5B">
              <w:rPr>
                <w:rFonts w:cs="Times New Roman"/>
                <w:sz w:val="24"/>
                <w:szCs w:val="24"/>
              </w:rPr>
              <w:t xml:space="preserve"> without an increase in vasopressors. There were several secondary outcomes.</w:t>
            </w:r>
          </w:p>
          <w:p w14:paraId="09A39D40" w14:textId="77777777" w:rsidR="00BA4F5B" w:rsidRDefault="00BA4F5B">
            <w:pPr>
              <w:rPr>
                <w:rFonts w:cs="Times New Roman"/>
                <w:sz w:val="24"/>
                <w:szCs w:val="24"/>
              </w:rPr>
            </w:pPr>
          </w:p>
          <w:p w14:paraId="0EEAFDBD" w14:textId="77777777" w:rsidR="00BA4F5B" w:rsidRDefault="00BA4F5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Primary – 69.9% (</w:t>
            </w:r>
            <w:proofErr w:type="spellStart"/>
            <w:r>
              <w:rPr>
                <w:rFonts w:cs="Times New Roman"/>
                <w:sz w:val="24"/>
                <w:szCs w:val="24"/>
              </w:rPr>
              <w:t>tx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) vs. </w:t>
            </w:r>
            <w:r w:rsidR="0096556D">
              <w:rPr>
                <w:rFonts w:cs="Times New Roman"/>
                <w:sz w:val="24"/>
                <w:szCs w:val="24"/>
              </w:rPr>
              <w:t>23.4% (ctrl): OR 7.95 (95%CI 4.76-13.3, p &lt; 0.001)</w:t>
            </w:r>
          </w:p>
          <w:p w14:paraId="07B95149" w14:textId="77777777" w:rsidR="005240B5" w:rsidRDefault="005240B5">
            <w:pPr>
              <w:rPr>
                <w:rFonts w:cs="Times New Roman"/>
                <w:sz w:val="24"/>
                <w:szCs w:val="24"/>
              </w:rPr>
            </w:pPr>
          </w:p>
          <w:p w14:paraId="01BEDBDD" w14:textId="77777777" w:rsidR="005240B5" w:rsidRDefault="005240B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Secondary – decreased cardio component of SOFA score and lower rates of AEs</w:t>
            </w:r>
            <w:r w:rsidR="002E0070">
              <w:rPr>
                <w:rFonts w:cs="Times New Roman"/>
                <w:sz w:val="24"/>
                <w:szCs w:val="24"/>
              </w:rPr>
              <w:t>. No difference in mortality or total SOFA</w:t>
            </w:r>
            <w:r w:rsidR="006E6F85">
              <w:rPr>
                <w:rFonts w:cs="Times New Roman"/>
                <w:sz w:val="24"/>
                <w:szCs w:val="24"/>
              </w:rPr>
              <w:t xml:space="preserve"> (not adequately powered for these outcomes).</w:t>
            </w:r>
          </w:p>
          <w:p w14:paraId="75A57042" w14:textId="77777777" w:rsidR="00C5475E" w:rsidRDefault="00C5475E">
            <w:pPr>
              <w:rPr>
                <w:rFonts w:cs="Times New Roman"/>
                <w:sz w:val="24"/>
                <w:szCs w:val="24"/>
              </w:rPr>
            </w:pPr>
          </w:p>
          <w:p w14:paraId="34B8AC4C" w14:textId="77777777" w:rsidR="00C5475E" w:rsidRDefault="00C547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Other data:</w:t>
            </w:r>
          </w:p>
          <w:p w14:paraId="1D0EF5C7" w14:textId="77777777" w:rsidR="00C5475E" w:rsidRDefault="00C5475E">
            <w:pPr>
              <w:rPr>
                <w:rFonts w:cs="Times New Roman"/>
                <w:sz w:val="24"/>
                <w:szCs w:val="24"/>
              </w:rPr>
            </w:pPr>
          </w:p>
          <w:p w14:paraId="16BE518C" w14:textId="77777777" w:rsidR="00727877" w:rsidRDefault="0072787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Retrospective study of real-world patients showed no mortality difference.</w:t>
            </w:r>
          </w:p>
          <w:p w14:paraId="46BA11FF" w14:textId="77777777" w:rsidR="00727877" w:rsidRDefault="00727877">
            <w:pPr>
              <w:rPr>
                <w:rFonts w:cs="Times New Roman"/>
                <w:sz w:val="24"/>
                <w:szCs w:val="24"/>
              </w:rPr>
            </w:pPr>
          </w:p>
          <w:p w14:paraId="72F3EA69" w14:textId="1E4B3843" w:rsidR="00C5475E" w:rsidRDefault="00C5475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Higher renin levels in </w:t>
            </w:r>
            <w:r w:rsidR="00CF5CE3">
              <w:rPr>
                <w:rFonts w:cs="Times New Roman"/>
                <w:sz w:val="24"/>
                <w:szCs w:val="24"/>
              </w:rPr>
              <w:t>patients with refractory shock are predictive of mortality.</w:t>
            </w:r>
          </w:p>
          <w:p w14:paraId="2491A441" w14:textId="77777777" w:rsidR="00CF5CE3" w:rsidRDefault="00CF5CE3">
            <w:pPr>
              <w:rPr>
                <w:rFonts w:cs="Times New Roman"/>
                <w:sz w:val="24"/>
                <w:szCs w:val="24"/>
              </w:rPr>
            </w:pPr>
          </w:p>
          <w:p w14:paraId="073C7508" w14:textId="77777777" w:rsidR="00CF5CE3" w:rsidRDefault="00CF5CE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Patients prescribed ARBs no not respond to AT II as well as patients prescribed ACEIs</w:t>
            </w:r>
            <w:r w:rsidR="00AD1EE0">
              <w:rPr>
                <w:rFonts w:cs="Times New Roman"/>
                <w:sz w:val="24"/>
                <w:szCs w:val="24"/>
              </w:rPr>
              <w:t>.</w:t>
            </w:r>
          </w:p>
          <w:p w14:paraId="19D77B47" w14:textId="77777777" w:rsidR="00AD1EE0" w:rsidRDefault="00AD1EE0">
            <w:pPr>
              <w:rPr>
                <w:rFonts w:cs="Times New Roman"/>
                <w:sz w:val="24"/>
                <w:szCs w:val="24"/>
              </w:rPr>
            </w:pPr>
          </w:p>
          <w:p w14:paraId="51AC9EC5" w14:textId="77777777" w:rsidR="00AD1EE0" w:rsidRDefault="00AD1EE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Potential benefit with starting at lower doses of vasopressors (post-hoc exploratory) and in patients with </w:t>
            </w:r>
            <w:proofErr w:type="spellStart"/>
            <w:r w:rsidR="00714C1A">
              <w:rPr>
                <w:rFonts w:cs="Times New Roman"/>
                <w:sz w:val="24"/>
                <w:szCs w:val="24"/>
              </w:rPr>
              <w:t>vasoplegia</w:t>
            </w:r>
            <w:proofErr w:type="spellEnd"/>
            <w:r w:rsidR="00714C1A">
              <w:rPr>
                <w:rFonts w:cs="Times New Roman"/>
                <w:sz w:val="24"/>
                <w:szCs w:val="24"/>
              </w:rPr>
              <w:t xml:space="preserve"> after cardiac surgery w/bypass.</w:t>
            </w:r>
          </w:p>
          <w:p w14:paraId="37221472" w14:textId="77777777" w:rsidR="00C97FE1" w:rsidRDefault="00C97FE1">
            <w:pPr>
              <w:rPr>
                <w:rFonts w:cs="Times New Roman"/>
                <w:sz w:val="24"/>
                <w:szCs w:val="24"/>
              </w:rPr>
            </w:pPr>
          </w:p>
          <w:p w14:paraId="4C445D53" w14:textId="77777777" w:rsidR="00C97FE1" w:rsidRDefault="00C97F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C/E ration (based on ATHOS 3) of $12,</w:t>
            </w:r>
            <w:r w:rsidR="0046473B">
              <w:rPr>
                <w:rFonts w:cs="Times New Roman"/>
                <w:sz w:val="24"/>
                <w:szCs w:val="24"/>
              </w:rPr>
              <w:t>843 QALY and likely below $50,000 per QALY (86%).</w:t>
            </w:r>
          </w:p>
          <w:p w14:paraId="73C4B277" w14:textId="77777777" w:rsidR="006F2893" w:rsidRDefault="006F2893">
            <w:pPr>
              <w:rPr>
                <w:rFonts w:cs="Times New Roman"/>
                <w:sz w:val="24"/>
                <w:szCs w:val="24"/>
              </w:rPr>
            </w:pPr>
          </w:p>
          <w:p w14:paraId="0216045E" w14:textId="015F78D9" w:rsidR="006F2893" w:rsidRPr="00C66C2F" w:rsidRDefault="006F289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It is unknow if AT II has a mortality benefit when administered in addition to vasopressors in patients with refractory shock.</w:t>
            </w:r>
          </w:p>
        </w:tc>
      </w:tr>
      <w:tr w:rsidR="00125444" w:rsidRPr="00C66C2F" w14:paraId="3B292B9D" w14:textId="77777777" w:rsidTr="00944BC2">
        <w:tc>
          <w:tcPr>
            <w:tcW w:w="2449" w:type="dxa"/>
          </w:tcPr>
          <w:p w14:paraId="4E37F1B2" w14:textId="77777777" w:rsidR="00125444" w:rsidRPr="00C66C2F" w:rsidRDefault="00125444">
            <w:pPr>
              <w:rPr>
                <w:rFonts w:cs="Times New Roman"/>
                <w:b/>
                <w:sz w:val="24"/>
                <w:szCs w:val="24"/>
              </w:rPr>
            </w:pPr>
            <w:r w:rsidRPr="00C66C2F">
              <w:rPr>
                <w:rFonts w:cs="Times New Roman"/>
                <w:b/>
                <w:sz w:val="24"/>
                <w:szCs w:val="24"/>
              </w:rPr>
              <w:lastRenderedPageBreak/>
              <w:t>Study Objective</w:t>
            </w:r>
          </w:p>
        </w:tc>
        <w:tc>
          <w:tcPr>
            <w:tcW w:w="6901" w:type="dxa"/>
            <w:gridSpan w:val="2"/>
          </w:tcPr>
          <w:p w14:paraId="5C476CE3" w14:textId="57A4409B" w:rsidR="00125444" w:rsidRPr="00C66C2F" w:rsidRDefault="002F5158" w:rsidP="00213B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 determine if AT II improves 30-day and 90-day mortality</w:t>
            </w:r>
            <w:r w:rsidR="001B5092">
              <w:rPr>
                <w:rFonts w:cs="Times New Roman"/>
                <w:sz w:val="24"/>
                <w:szCs w:val="24"/>
              </w:rPr>
              <w:t xml:space="preserve"> in patients with refractory shock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125444" w:rsidRPr="00C66C2F" w14:paraId="325A809E" w14:textId="77777777" w:rsidTr="00944BC2">
        <w:tc>
          <w:tcPr>
            <w:tcW w:w="2449" w:type="dxa"/>
          </w:tcPr>
          <w:p w14:paraId="357AF622" w14:textId="78675D6D" w:rsidR="00125444" w:rsidRPr="00C66C2F" w:rsidRDefault="003C2AD3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PICO Question</w:t>
            </w:r>
          </w:p>
        </w:tc>
        <w:tc>
          <w:tcPr>
            <w:tcW w:w="6901" w:type="dxa"/>
            <w:gridSpan w:val="2"/>
          </w:tcPr>
          <w:p w14:paraId="6AAE0DF6" w14:textId="5A5FD40B" w:rsidR="00125444" w:rsidRPr="00C66C2F" w:rsidRDefault="001B5092" w:rsidP="003C2AD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 adult patients </w:t>
            </w:r>
            <w:r w:rsidR="005B0C0B">
              <w:rPr>
                <w:rFonts w:cs="Times New Roman"/>
                <w:sz w:val="24"/>
                <w:szCs w:val="24"/>
              </w:rPr>
              <w:t xml:space="preserve">with refractory shock does AT II in addition to standard therapy, as compared to standard therapy alone, decrease mortality? </w:t>
            </w:r>
          </w:p>
        </w:tc>
      </w:tr>
      <w:tr w:rsidR="00125444" w:rsidRPr="00C66C2F" w14:paraId="3A755D8B" w14:textId="77777777" w:rsidTr="00C66C2F">
        <w:tc>
          <w:tcPr>
            <w:tcW w:w="9350" w:type="dxa"/>
            <w:gridSpan w:val="3"/>
            <w:shd w:val="clear" w:color="auto" w:fill="A8D08D" w:themeFill="accent6" w:themeFillTint="99"/>
          </w:tcPr>
          <w:p w14:paraId="5504F69A" w14:textId="77777777" w:rsidR="00125444" w:rsidRPr="00C66C2F" w:rsidRDefault="00125444" w:rsidP="00125444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66C2F">
              <w:rPr>
                <w:rFonts w:cs="Times New Roman"/>
                <w:b/>
                <w:i/>
                <w:sz w:val="28"/>
                <w:szCs w:val="24"/>
              </w:rPr>
              <w:t xml:space="preserve">Methods </w:t>
            </w:r>
          </w:p>
        </w:tc>
      </w:tr>
      <w:tr w:rsidR="00125444" w:rsidRPr="00C66C2F" w14:paraId="0DFDFE96" w14:textId="77777777" w:rsidTr="00944BC2">
        <w:tc>
          <w:tcPr>
            <w:tcW w:w="2449" w:type="dxa"/>
          </w:tcPr>
          <w:p w14:paraId="4392710B" w14:textId="77777777" w:rsidR="00125444" w:rsidRPr="00C66C2F" w:rsidRDefault="00125444">
            <w:pPr>
              <w:rPr>
                <w:rFonts w:cs="Times New Roman"/>
                <w:b/>
                <w:sz w:val="24"/>
                <w:szCs w:val="24"/>
              </w:rPr>
            </w:pPr>
            <w:r w:rsidRPr="00C66C2F">
              <w:rPr>
                <w:rFonts w:cs="Times New Roman"/>
                <w:b/>
                <w:sz w:val="24"/>
                <w:szCs w:val="24"/>
              </w:rPr>
              <w:t>Study design</w:t>
            </w:r>
          </w:p>
        </w:tc>
        <w:tc>
          <w:tcPr>
            <w:tcW w:w="6901" w:type="dxa"/>
            <w:gridSpan w:val="2"/>
          </w:tcPr>
          <w:p w14:paraId="14AA6141" w14:textId="29B3D647" w:rsidR="00213B74" w:rsidRDefault="00213B74">
            <w:pPr>
              <w:rPr>
                <w:rFonts w:cs="Times New Roman"/>
                <w:sz w:val="24"/>
                <w:szCs w:val="24"/>
              </w:rPr>
            </w:pPr>
            <w:r w:rsidRPr="00213B74">
              <w:rPr>
                <w:rFonts w:cs="Times New Roman"/>
                <w:sz w:val="24"/>
                <w:szCs w:val="24"/>
              </w:rPr>
              <w:t>Things to consider</w:t>
            </w:r>
            <w:r>
              <w:rPr>
                <w:rFonts w:cs="Times New Roman"/>
                <w:sz w:val="24"/>
                <w:szCs w:val="24"/>
              </w:rPr>
              <w:t xml:space="preserve"> -</w:t>
            </w:r>
          </w:p>
          <w:p w14:paraId="72113003" w14:textId="39640DD7" w:rsidR="00213B74" w:rsidRDefault="00213B74" w:rsidP="00BD725C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 w:rsidRPr="00213B74">
              <w:rPr>
                <w:rFonts w:cs="Times New Roman"/>
                <w:sz w:val="24"/>
                <w:szCs w:val="24"/>
              </w:rPr>
              <w:t>Retrospective</w:t>
            </w:r>
            <w:r w:rsidR="001D79BF">
              <w:rPr>
                <w:rFonts w:cs="Times New Roman"/>
                <w:sz w:val="24"/>
                <w:szCs w:val="24"/>
              </w:rPr>
              <w:t xml:space="preserve"> matched cohort</w:t>
            </w:r>
          </w:p>
          <w:p w14:paraId="5759983E" w14:textId="1F0B2991" w:rsidR="0055631D" w:rsidRDefault="0055631D" w:rsidP="00BD725C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Single center</w:t>
            </w:r>
          </w:p>
          <w:p w14:paraId="49F5C654" w14:textId="1B31F0D2" w:rsidR="00BD725C" w:rsidRDefault="00F748E3" w:rsidP="00BD725C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Control arms: </w:t>
            </w:r>
            <w:r w:rsidR="009E675D">
              <w:rPr>
                <w:rFonts w:cs="Times New Roman"/>
                <w:sz w:val="24"/>
                <w:szCs w:val="24"/>
              </w:rPr>
              <w:t xml:space="preserve">1) </w:t>
            </w:r>
            <w:r w:rsidR="003C732A">
              <w:rPr>
                <w:rFonts w:cs="Times New Roman"/>
                <w:sz w:val="24"/>
                <w:szCs w:val="24"/>
              </w:rPr>
              <w:t xml:space="preserve">historical - </w:t>
            </w:r>
            <w:r w:rsidR="009E675D">
              <w:rPr>
                <w:rFonts w:cs="Times New Roman"/>
                <w:sz w:val="24"/>
                <w:szCs w:val="24"/>
              </w:rPr>
              <w:t xml:space="preserve">received vasopressors before AT II was available, 2) </w:t>
            </w:r>
            <w:r w:rsidR="003C732A">
              <w:rPr>
                <w:rFonts w:cs="Times New Roman"/>
                <w:sz w:val="24"/>
                <w:szCs w:val="24"/>
              </w:rPr>
              <w:t xml:space="preserve">concurrent – received vasopressors (not AT II) after it was </w:t>
            </w:r>
            <w:proofErr w:type="gramStart"/>
            <w:r w:rsidR="003C732A">
              <w:rPr>
                <w:rFonts w:cs="Times New Roman"/>
                <w:sz w:val="24"/>
                <w:szCs w:val="24"/>
              </w:rPr>
              <w:t>available</w:t>
            </w:r>
            <w:proofErr w:type="gramEnd"/>
          </w:p>
          <w:p w14:paraId="5C1799F2" w14:textId="2324EA4B" w:rsidR="009D6290" w:rsidRPr="009B5DDD" w:rsidRDefault="00B674D0" w:rsidP="009B5DDD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Matching: the total NE dose (converted from </w:t>
            </w:r>
            <w:r w:rsidR="00C178B8">
              <w:rPr>
                <w:rFonts w:cs="Times New Roman"/>
                <w:sz w:val="24"/>
                <w:szCs w:val="24"/>
              </w:rPr>
              <w:t xml:space="preserve">all vasopressors) at the start of AT II was used to match each patient to a historical and concurrent control. If there were multiple </w:t>
            </w:r>
            <w:proofErr w:type="gramStart"/>
            <w:r w:rsidR="00C178B8">
              <w:rPr>
                <w:rFonts w:cs="Times New Roman"/>
                <w:sz w:val="24"/>
                <w:szCs w:val="24"/>
              </w:rPr>
              <w:t>matches</w:t>
            </w:r>
            <w:proofErr w:type="gramEnd"/>
            <w:r w:rsidR="00C178B8">
              <w:rPr>
                <w:rFonts w:cs="Times New Roman"/>
                <w:sz w:val="24"/>
                <w:szCs w:val="24"/>
              </w:rPr>
              <w:t xml:space="preserve"> </w:t>
            </w:r>
            <w:r w:rsidR="007B5347">
              <w:rPr>
                <w:rFonts w:cs="Times New Roman"/>
                <w:sz w:val="24"/>
                <w:szCs w:val="24"/>
              </w:rPr>
              <w:t>then one was selected at random.</w:t>
            </w:r>
            <w:r w:rsidR="00D71A0D">
              <w:rPr>
                <w:rFonts w:cs="Times New Roman"/>
                <w:sz w:val="24"/>
                <w:szCs w:val="24"/>
              </w:rPr>
              <w:t xml:space="preserve"> Historical/concurrent control groups were combined.</w:t>
            </w:r>
          </w:p>
          <w:p w14:paraId="64077AC7" w14:textId="754E43E4" w:rsidR="00125444" w:rsidRPr="00944BC2" w:rsidRDefault="00125444" w:rsidP="00213B74">
            <w:pPr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125444" w:rsidRPr="00C66C2F" w14:paraId="4F6EE2D1" w14:textId="77777777" w:rsidTr="00944BC2">
        <w:tc>
          <w:tcPr>
            <w:tcW w:w="2449" w:type="dxa"/>
            <w:vMerge w:val="restart"/>
          </w:tcPr>
          <w:p w14:paraId="269091BC" w14:textId="5675169B" w:rsidR="00125444" w:rsidRPr="00213B74" w:rsidRDefault="00213B7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Population</w:t>
            </w:r>
          </w:p>
        </w:tc>
        <w:tc>
          <w:tcPr>
            <w:tcW w:w="3450" w:type="dxa"/>
          </w:tcPr>
          <w:p w14:paraId="1333AA99" w14:textId="77777777" w:rsidR="00125444" w:rsidRPr="004A260C" w:rsidRDefault="00125444" w:rsidP="004A260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260C">
              <w:rPr>
                <w:rFonts w:cs="Times New Roman"/>
                <w:b/>
                <w:sz w:val="24"/>
                <w:szCs w:val="24"/>
              </w:rPr>
              <w:t>Inclusion Criteria</w:t>
            </w:r>
          </w:p>
        </w:tc>
        <w:tc>
          <w:tcPr>
            <w:tcW w:w="3451" w:type="dxa"/>
          </w:tcPr>
          <w:p w14:paraId="40246621" w14:textId="77777777" w:rsidR="00125444" w:rsidRPr="004A260C" w:rsidRDefault="00125444" w:rsidP="004A260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260C">
              <w:rPr>
                <w:rFonts w:cs="Times New Roman"/>
                <w:b/>
                <w:sz w:val="24"/>
                <w:szCs w:val="24"/>
              </w:rPr>
              <w:t>Exclusion Criteria</w:t>
            </w:r>
          </w:p>
        </w:tc>
      </w:tr>
      <w:tr w:rsidR="00125444" w:rsidRPr="00C66C2F" w14:paraId="336044ED" w14:textId="77777777" w:rsidTr="00944BC2">
        <w:tc>
          <w:tcPr>
            <w:tcW w:w="2449" w:type="dxa"/>
            <w:vMerge/>
          </w:tcPr>
          <w:p w14:paraId="6C005C2A" w14:textId="77777777" w:rsidR="00125444" w:rsidRPr="00C66C2F" w:rsidRDefault="0012544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14:paraId="3AA2319F" w14:textId="6E36C01F" w:rsidR="00125444" w:rsidRPr="00212A1B" w:rsidRDefault="00DB7595" w:rsidP="00212A1B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212A1B">
              <w:rPr>
                <w:rFonts w:cs="Times New Roman"/>
                <w:sz w:val="24"/>
                <w:szCs w:val="24"/>
              </w:rPr>
              <w:t>Adults (</w:t>
            </w:r>
            <w:r w:rsidRPr="00212A1B">
              <w:rPr>
                <w:rFonts w:cstheme="minorHAnsi"/>
                <w:sz w:val="24"/>
                <w:szCs w:val="24"/>
              </w:rPr>
              <w:t>≥</w:t>
            </w:r>
            <w:r w:rsidRPr="00212A1B">
              <w:rPr>
                <w:rFonts w:cs="Times New Roman"/>
                <w:sz w:val="24"/>
                <w:szCs w:val="24"/>
              </w:rPr>
              <w:t xml:space="preserve"> 18 years)</w:t>
            </w:r>
          </w:p>
          <w:p w14:paraId="1587E5F2" w14:textId="4724BB28" w:rsidR="00DB7595" w:rsidRPr="00212A1B" w:rsidRDefault="00DB7595" w:rsidP="00212A1B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212A1B">
              <w:rPr>
                <w:rFonts w:cs="Times New Roman"/>
                <w:sz w:val="24"/>
                <w:szCs w:val="24"/>
              </w:rPr>
              <w:t xml:space="preserve">Vasopressor </w:t>
            </w:r>
            <w:proofErr w:type="spellStart"/>
            <w:r w:rsidRPr="00212A1B">
              <w:rPr>
                <w:rFonts w:cs="Times New Roman"/>
                <w:sz w:val="24"/>
                <w:szCs w:val="24"/>
              </w:rPr>
              <w:t>tx</w:t>
            </w:r>
            <w:proofErr w:type="spellEnd"/>
            <w:r w:rsidRPr="00212A1B">
              <w:rPr>
                <w:rFonts w:cs="Times New Roman"/>
                <w:sz w:val="24"/>
                <w:szCs w:val="24"/>
              </w:rPr>
              <w:t xml:space="preserve">: </w:t>
            </w:r>
            <w:r w:rsidR="00212A1B" w:rsidRPr="00212A1B">
              <w:rPr>
                <w:rFonts w:cs="Times New Roman"/>
                <w:sz w:val="24"/>
                <w:szCs w:val="24"/>
              </w:rPr>
              <w:t>NE, epi, dopamine, AT II</w:t>
            </w:r>
          </w:p>
          <w:p w14:paraId="64DCBB34" w14:textId="0829282A" w:rsidR="00212A1B" w:rsidRPr="00212A1B" w:rsidRDefault="00212A1B" w:rsidP="00212A1B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ICU admission</w:t>
            </w:r>
          </w:p>
        </w:tc>
        <w:tc>
          <w:tcPr>
            <w:tcW w:w="3451" w:type="dxa"/>
          </w:tcPr>
          <w:p w14:paraId="0306B527" w14:textId="001B19A0" w:rsidR="00125444" w:rsidRPr="00C66C2F" w:rsidRDefault="00212A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AT II started in OR</w:t>
            </w:r>
            <w:r w:rsidR="00213B74" w:rsidRPr="00213B74">
              <w:rPr>
                <w:rFonts w:cs="Times New Roman"/>
                <w:sz w:val="24"/>
                <w:szCs w:val="24"/>
              </w:rPr>
              <w:t xml:space="preserve">   </w:t>
            </w:r>
          </w:p>
        </w:tc>
      </w:tr>
      <w:tr w:rsidR="00C66C2F" w:rsidRPr="00C66C2F" w14:paraId="2AACD63D" w14:textId="77777777" w:rsidTr="00944BC2">
        <w:tc>
          <w:tcPr>
            <w:tcW w:w="2449" w:type="dxa"/>
          </w:tcPr>
          <w:p w14:paraId="0F4114F0" w14:textId="77777777" w:rsidR="00C66C2F" w:rsidRPr="00C66C2F" w:rsidRDefault="00C66C2F" w:rsidP="00C66C2F">
            <w:pPr>
              <w:rPr>
                <w:rFonts w:cs="Times New Roman"/>
                <w:b/>
                <w:sz w:val="24"/>
                <w:szCs w:val="24"/>
              </w:rPr>
            </w:pPr>
            <w:r w:rsidRPr="00C66C2F">
              <w:rPr>
                <w:rFonts w:cs="Times New Roman"/>
                <w:b/>
                <w:sz w:val="24"/>
                <w:szCs w:val="24"/>
              </w:rPr>
              <w:t>Funding</w:t>
            </w:r>
          </w:p>
        </w:tc>
        <w:tc>
          <w:tcPr>
            <w:tcW w:w="6901" w:type="dxa"/>
            <w:gridSpan w:val="2"/>
          </w:tcPr>
          <w:p w14:paraId="4ECD07B0" w14:textId="45343CE0" w:rsidR="00C66C2F" w:rsidRPr="00C66C2F" w:rsidRDefault="00477DCC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 funding reported, no conflicts of interested reported.</w:t>
            </w:r>
          </w:p>
        </w:tc>
      </w:tr>
      <w:tr w:rsidR="00C66C2F" w:rsidRPr="00C66C2F" w14:paraId="29C28ABC" w14:textId="77777777" w:rsidTr="00944BC2">
        <w:tc>
          <w:tcPr>
            <w:tcW w:w="2449" w:type="dxa"/>
          </w:tcPr>
          <w:p w14:paraId="43A399D5" w14:textId="77777777" w:rsidR="00C66C2F" w:rsidRPr="00C66C2F" w:rsidRDefault="00C66C2F" w:rsidP="00C66C2F">
            <w:pPr>
              <w:rPr>
                <w:rFonts w:cs="Times New Roman"/>
                <w:b/>
                <w:sz w:val="24"/>
                <w:szCs w:val="24"/>
              </w:rPr>
            </w:pPr>
            <w:r w:rsidRPr="00C66C2F">
              <w:rPr>
                <w:rFonts w:cs="Times New Roman"/>
                <w:b/>
                <w:sz w:val="24"/>
                <w:szCs w:val="24"/>
              </w:rPr>
              <w:t>IRB Approval</w:t>
            </w:r>
          </w:p>
        </w:tc>
        <w:tc>
          <w:tcPr>
            <w:tcW w:w="6901" w:type="dxa"/>
            <w:gridSpan w:val="2"/>
          </w:tcPr>
          <w:p w14:paraId="765158A4" w14:textId="41913276" w:rsidR="00C66C2F" w:rsidRPr="00C66C2F" w:rsidRDefault="008F56FB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IRB approved with waiver of consent.</w:t>
            </w:r>
            <w:r w:rsidR="00C66C2F" w:rsidRPr="00C66C2F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66C2F" w:rsidRPr="00C66C2F" w14:paraId="41E66E17" w14:textId="77777777" w:rsidTr="00944BC2">
        <w:tc>
          <w:tcPr>
            <w:tcW w:w="2449" w:type="dxa"/>
          </w:tcPr>
          <w:p w14:paraId="27510B37" w14:textId="77777777" w:rsidR="00C66C2F" w:rsidRPr="00C66C2F" w:rsidRDefault="00C66C2F" w:rsidP="00C66C2F">
            <w:pPr>
              <w:rPr>
                <w:rFonts w:cs="Times New Roman"/>
                <w:b/>
                <w:sz w:val="24"/>
                <w:szCs w:val="24"/>
              </w:rPr>
            </w:pPr>
            <w:r w:rsidRPr="00C66C2F">
              <w:rPr>
                <w:rFonts w:cs="Times New Roman"/>
                <w:b/>
                <w:sz w:val="24"/>
                <w:szCs w:val="24"/>
              </w:rPr>
              <w:t>RCT-Related Methods</w:t>
            </w:r>
          </w:p>
        </w:tc>
        <w:tc>
          <w:tcPr>
            <w:tcW w:w="6901" w:type="dxa"/>
            <w:gridSpan w:val="2"/>
          </w:tcPr>
          <w:p w14:paraId="7A203D8E" w14:textId="76657ACA" w:rsidR="00A52A07" w:rsidRPr="00C66C2F" w:rsidRDefault="009B5DDD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n/a</w:t>
            </w:r>
          </w:p>
        </w:tc>
      </w:tr>
      <w:tr w:rsidR="00C66C2F" w:rsidRPr="00C66C2F" w14:paraId="661226BF" w14:textId="77777777" w:rsidTr="00944BC2">
        <w:tc>
          <w:tcPr>
            <w:tcW w:w="2449" w:type="dxa"/>
          </w:tcPr>
          <w:p w14:paraId="401A4BC9" w14:textId="6BEF91B0" w:rsidR="00C66C2F" w:rsidRPr="00C66C2F" w:rsidRDefault="00C66C2F" w:rsidP="00C66C2F">
            <w:pPr>
              <w:rPr>
                <w:rFonts w:cs="Times New Roman"/>
                <w:b/>
                <w:sz w:val="24"/>
                <w:szCs w:val="24"/>
              </w:rPr>
            </w:pPr>
            <w:r w:rsidRPr="00C66C2F">
              <w:rPr>
                <w:rFonts w:cs="Times New Roman"/>
                <w:b/>
                <w:sz w:val="24"/>
                <w:szCs w:val="24"/>
              </w:rPr>
              <w:t>Observation</w:t>
            </w:r>
            <w:r w:rsidR="00A52A07">
              <w:rPr>
                <w:rFonts w:cs="Times New Roman"/>
                <w:b/>
                <w:sz w:val="24"/>
                <w:szCs w:val="24"/>
              </w:rPr>
              <w:t>al</w:t>
            </w:r>
            <w:r w:rsidRPr="00C66C2F">
              <w:rPr>
                <w:rFonts w:cs="Times New Roman"/>
                <w:b/>
                <w:sz w:val="24"/>
                <w:szCs w:val="24"/>
              </w:rPr>
              <w:t xml:space="preserve"> Study-Related Methods </w:t>
            </w:r>
          </w:p>
        </w:tc>
        <w:tc>
          <w:tcPr>
            <w:tcW w:w="6901" w:type="dxa"/>
            <w:gridSpan w:val="2"/>
          </w:tcPr>
          <w:p w14:paraId="44462A31" w14:textId="77777777" w:rsidR="00A52A07" w:rsidRDefault="001A5C0F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Quality: similar groups recruited from same population, </w:t>
            </w:r>
            <w:r w:rsidR="00E73967">
              <w:rPr>
                <w:rFonts w:cs="Times New Roman"/>
                <w:sz w:val="24"/>
                <w:szCs w:val="24"/>
              </w:rPr>
              <w:t>similar measures for both groups</w:t>
            </w:r>
            <w:r w:rsidR="00C6426D">
              <w:rPr>
                <w:rFonts w:cs="Times New Roman"/>
                <w:sz w:val="24"/>
                <w:szCs w:val="24"/>
              </w:rPr>
              <w:t>, valid patient-oriented outcome, confounders identified and adjusted, no AT II prior to study enrollment</w:t>
            </w:r>
            <w:r w:rsidR="0037745F">
              <w:rPr>
                <w:rFonts w:cs="Times New Roman"/>
                <w:sz w:val="24"/>
                <w:szCs w:val="24"/>
              </w:rPr>
              <w:t>, reasonable follow up time, follow up complete, appropriate stats.</w:t>
            </w:r>
          </w:p>
          <w:p w14:paraId="2ED18CA4" w14:textId="77777777" w:rsidR="0037745F" w:rsidRDefault="0037745F" w:rsidP="00C66C2F">
            <w:pPr>
              <w:rPr>
                <w:rFonts w:cs="Times New Roman"/>
                <w:sz w:val="24"/>
                <w:szCs w:val="24"/>
              </w:rPr>
            </w:pPr>
          </w:p>
          <w:p w14:paraId="27C5B088" w14:textId="6943F9A2" w:rsidR="0037745F" w:rsidRPr="00C66C2F" w:rsidRDefault="0037745F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Overall </w:t>
            </w:r>
            <w:proofErr w:type="gramStart"/>
            <w:r>
              <w:rPr>
                <w:rFonts w:cs="Times New Roman"/>
                <w:sz w:val="24"/>
                <w:szCs w:val="24"/>
              </w:rPr>
              <w:t>high quality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retrospective cohort study.</w:t>
            </w:r>
          </w:p>
        </w:tc>
      </w:tr>
      <w:tr w:rsidR="00C66C2F" w:rsidRPr="00C66C2F" w14:paraId="399A6822" w14:textId="77777777" w:rsidTr="00944BC2">
        <w:tc>
          <w:tcPr>
            <w:tcW w:w="2449" w:type="dxa"/>
          </w:tcPr>
          <w:p w14:paraId="61656951" w14:textId="77777777" w:rsidR="00C66C2F" w:rsidRPr="00C66C2F" w:rsidRDefault="00C66C2F" w:rsidP="00C66C2F">
            <w:pPr>
              <w:rPr>
                <w:rFonts w:cs="Times New Roman"/>
                <w:b/>
                <w:sz w:val="24"/>
                <w:szCs w:val="24"/>
              </w:rPr>
            </w:pPr>
            <w:r w:rsidRPr="00C66C2F">
              <w:rPr>
                <w:rFonts w:cs="Times New Roman"/>
                <w:b/>
                <w:sz w:val="24"/>
                <w:szCs w:val="24"/>
              </w:rPr>
              <w:t>Intervention</w:t>
            </w:r>
          </w:p>
        </w:tc>
        <w:tc>
          <w:tcPr>
            <w:tcW w:w="6901" w:type="dxa"/>
            <w:gridSpan w:val="2"/>
          </w:tcPr>
          <w:p w14:paraId="1FCA93F2" w14:textId="07C80025" w:rsidR="00C66C2F" w:rsidRPr="00C66C2F" w:rsidRDefault="00043FFE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Initiation of AT II in addition to vasopressors.</w:t>
            </w:r>
          </w:p>
        </w:tc>
      </w:tr>
      <w:tr w:rsidR="00C66C2F" w:rsidRPr="00C66C2F" w14:paraId="4CC32B4F" w14:textId="77777777" w:rsidTr="00944BC2">
        <w:tc>
          <w:tcPr>
            <w:tcW w:w="2449" w:type="dxa"/>
          </w:tcPr>
          <w:p w14:paraId="7399A32F" w14:textId="77777777" w:rsidR="00C66C2F" w:rsidRPr="00C66C2F" w:rsidRDefault="00C66C2F" w:rsidP="00C66C2F">
            <w:pPr>
              <w:rPr>
                <w:rFonts w:cs="Times New Roman"/>
                <w:b/>
                <w:sz w:val="24"/>
                <w:szCs w:val="24"/>
              </w:rPr>
            </w:pPr>
            <w:r w:rsidRPr="00C66C2F">
              <w:rPr>
                <w:rFonts w:cs="Times New Roman"/>
                <w:b/>
                <w:sz w:val="24"/>
                <w:szCs w:val="24"/>
              </w:rPr>
              <w:t>Outcomes</w:t>
            </w:r>
          </w:p>
        </w:tc>
        <w:tc>
          <w:tcPr>
            <w:tcW w:w="6901" w:type="dxa"/>
            <w:gridSpan w:val="2"/>
          </w:tcPr>
          <w:p w14:paraId="6816432C" w14:textId="52FEB325" w:rsidR="00C66C2F" w:rsidRDefault="00BE10CA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Primary </w:t>
            </w:r>
            <w:r w:rsidR="00A57B8E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57B8E">
              <w:rPr>
                <w:rFonts w:cs="Times New Roman"/>
                <w:sz w:val="24"/>
                <w:szCs w:val="24"/>
              </w:rPr>
              <w:t xml:space="preserve">30-day </w:t>
            </w:r>
            <w:proofErr w:type="spellStart"/>
            <w:r w:rsidR="00A57B8E">
              <w:rPr>
                <w:rFonts w:cs="Times New Roman"/>
                <w:sz w:val="24"/>
                <w:szCs w:val="24"/>
              </w:rPr>
              <w:t>all cause</w:t>
            </w:r>
            <w:proofErr w:type="spellEnd"/>
            <w:r w:rsidR="00A57B8E">
              <w:rPr>
                <w:rFonts w:cs="Times New Roman"/>
                <w:sz w:val="24"/>
                <w:szCs w:val="24"/>
              </w:rPr>
              <w:t xml:space="preserve"> mortality (POEM)</w:t>
            </w:r>
          </w:p>
          <w:p w14:paraId="6B3C6AF7" w14:textId="77777777" w:rsidR="00A57B8E" w:rsidRDefault="00A57B8E" w:rsidP="00C66C2F">
            <w:pPr>
              <w:rPr>
                <w:rFonts w:cs="Times New Roman"/>
                <w:sz w:val="24"/>
                <w:szCs w:val="24"/>
              </w:rPr>
            </w:pPr>
          </w:p>
          <w:p w14:paraId="7F85D82D" w14:textId="548303F8" w:rsidR="00C66C2F" w:rsidRPr="00C66C2F" w:rsidRDefault="00A57B8E" w:rsidP="00D71A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Secondary – 90-day mortality (POEM)</w:t>
            </w:r>
            <w:r w:rsidR="00FD61E1">
              <w:rPr>
                <w:rFonts w:cs="Times New Roman"/>
                <w:sz w:val="24"/>
                <w:szCs w:val="24"/>
              </w:rPr>
              <w:t>, RRT (</w:t>
            </w:r>
            <w:proofErr w:type="spellStart"/>
            <w:r w:rsidR="00FD61E1">
              <w:rPr>
                <w:rFonts w:cs="Times New Roman"/>
                <w:sz w:val="24"/>
                <w:szCs w:val="24"/>
              </w:rPr>
              <w:t>POEMish</w:t>
            </w:r>
            <w:proofErr w:type="spellEnd"/>
            <w:r w:rsidR="00FD61E1">
              <w:rPr>
                <w:rFonts w:cs="Times New Roman"/>
                <w:sz w:val="24"/>
                <w:szCs w:val="24"/>
              </w:rPr>
              <w:t xml:space="preserve">), </w:t>
            </w:r>
            <w:r w:rsidR="00477091">
              <w:rPr>
                <w:rFonts w:cs="Times New Roman"/>
                <w:sz w:val="24"/>
                <w:szCs w:val="24"/>
              </w:rPr>
              <w:t xml:space="preserve">mech vent (POEM), MA-SOFA (DOE), </w:t>
            </w:r>
            <w:r w:rsidR="005B79A8">
              <w:rPr>
                <w:rFonts w:cs="Times New Roman"/>
                <w:sz w:val="24"/>
                <w:szCs w:val="24"/>
              </w:rPr>
              <w:t>thrombotic events (POEM), vent free days (DOE)</w:t>
            </w:r>
          </w:p>
        </w:tc>
      </w:tr>
      <w:tr w:rsidR="00C66C2F" w:rsidRPr="00C66C2F" w14:paraId="45B0A4F1" w14:textId="77777777" w:rsidTr="00944BC2">
        <w:tc>
          <w:tcPr>
            <w:tcW w:w="2449" w:type="dxa"/>
          </w:tcPr>
          <w:p w14:paraId="7661645E" w14:textId="77777777" w:rsidR="00C66C2F" w:rsidRPr="00C66C2F" w:rsidRDefault="00C66C2F" w:rsidP="00C66C2F">
            <w:pPr>
              <w:rPr>
                <w:rFonts w:cs="Times New Roman"/>
                <w:b/>
                <w:sz w:val="24"/>
                <w:szCs w:val="24"/>
              </w:rPr>
            </w:pPr>
            <w:r w:rsidRPr="00C66C2F">
              <w:rPr>
                <w:rFonts w:cs="Times New Roman"/>
                <w:b/>
                <w:sz w:val="24"/>
                <w:szCs w:val="24"/>
              </w:rPr>
              <w:lastRenderedPageBreak/>
              <w:t>Statistical Analysis</w:t>
            </w:r>
          </w:p>
        </w:tc>
        <w:tc>
          <w:tcPr>
            <w:tcW w:w="6901" w:type="dxa"/>
            <w:gridSpan w:val="2"/>
          </w:tcPr>
          <w:p w14:paraId="41A143F7" w14:textId="7825C9F9" w:rsidR="001B18C6" w:rsidRPr="00E20130" w:rsidRDefault="001536C4" w:rsidP="00E20130">
            <w:pPr>
              <w:rPr>
                <w:sz w:val="24"/>
                <w:szCs w:val="24"/>
              </w:rPr>
            </w:pPr>
            <w:r w:rsidRPr="00E20130">
              <w:rPr>
                <w:rFonts w:cs="Times New Roman"/>
                <w:sz w:val="24"/>
                <w:szCs w:val="24"/>
              </w:rPr>
              <w:t xml:space="preserve">Primary outcome </w:t>
            </w:r>
            <w:r w:rsidR="00814C77" w:rsidRPr="00E20130">
              <w:rPr>
                <w:rFonts w:cs="Times New Roman"/>
                <w:sz w:val="24"/>
                <w:szCs w:val="24"/>
              </w:rPr>
              <w:t>–</w:t>
            </w:r>
            <w:r w:rsidRPr="00E20130">
              <w:rPr>
                <w:rFonts w:cs="Times New Roman"/>
                <w:sz w:val="24"/>
                <w:szCs w:val="24"/>
              </w:rPr>
              <w:t xml:space="preserve"> </w:t>
            </w:r>
            <w:r w:rsidR="00814C77" w:rsidRPr="00E20130">
              <w:rPr>
                <w:rFonts w:cs="Times New Roman"/>
                <w:sz w:val="24"/>
                <w:szCs w:val="24"/>
              </w:rPr>
              <w:t>30-day mortality was compared using a GEE</w:t>
            </w:r>
            <w:r w:rsidR="00E20130">
              <w:rPr>
                <w:rFonts w:cs="Times New Roman"/>
                <w:sz w:val="24"/>
                <w:szCs w:val="24"/>
              </w:rPr>
              <w:t xml:space="preserve"> </w:t>
            </w:r>
            <w:r w:rsidR="00E20130" w:rsidRPr="00E20130">
              <w:rPr>
                <w:rFonts w:cs="Times New Roman"/>
                <w:sz w:val="24"/>
                <w:szCs w:val="24"/>
              </w:rPr>
              <w:t>including several variables</w:t>
            </w:r>
            <w:r w:rsidR="00E20130" w:rsidRPr="00E20130">
              <w:rPr>
                <w:sz w:val="24"/>
                <w:szCs w:val="24"/>
              </w:rPr>
              <w:t xml:space="preserve">: </w:t>
            </w:r>
            <w:r w:rsidR="00E20130" w:rsidRPr="00E20130">
              <w:rPr>
                <w:sz w:val="24"/>
                <w:szCs w:val="24"/>
              </w:rPr>
              <w:t>basic demographics, NE equivalent dose,</w:t>
            </w:r>
            <w:r w:rsidR="00E20130">
              <w:rPr>
                <w:sz w:val="24"/>
                <w:szCs w:val="24"/>
              </w:rPr>
              <w:t xml:space="preserve"> </w:t>
            </w:r>
            <w:r w:rsidR="00E20130" w:rsidRPr="00E20130">
              <w:rPr>
                <w:sz w:val="24"/>
                <w:szCs w:val="24"/>
              </w:rPr>
              <w:t>time</w:t>
            </w:r>
            <w:r w:rsidR="00E20130">
              <w:rPr>
                <w:sz w:val="24"/>
                <w:szCs w:val="24"/>
              </w:rPr>
              <w:t xml:space="preserve"> </w:t>
            </w:r>
            <w:r w:rsidR="00E20130" w:rsidRPr="00E20130">
              <w:rPr>
                <w:sz w:val="24"/>
                <w:szCs w:val="24"/>
              </w:rPr>
              <w:t>to study enrollment (AT2 initiation or time to the</w:t>
            </w:r>
            <w:r w:rsidR="00E20130">
              <w:rPr>
                <w:sz w:val="24"/>
                <w:szCs w:val="24"/>
              </w:rPr>
              <w:t xml:space="preserve"> </w:t>
            </w:r>
            <w:r w:rsidR="00E20130" w:rsidRPr="00E20130">
              <w:rPr>
                <w:sz w:val="24"/>
                <w:szCs w:val="24"/>
              </w:rPr>
              <w:t>same NE equivalent dose in the non-AT2 patients),</w:t>
            </w:r>
            <w:r w:rsidR="00E20130">
              <w:rPr>
                <w:sz w:val="24"/>
                <w:szCs w:val="24"/>
              </w:rPr>
              <w:t xml:space="preserve"> </w:t>
            </w:r>
            <w:r w:rsidR="00E20130" w:rsidRPr="00E20130">
              <w:rPr>
                <w:sz w:val="24"/>
                <w:szCs w:val="24"/>
              </w:rPr>
              <w:t>number of vasopressors, comorbidities, laboratory</w:t>
            </w:r>
            <w:r w:rsidR="00E20130">
              <w:rPr>
                <w:sz w:val="24"/>
                <w:szCs w:val="24"/>
              </w:rPr>
              <w:t xml:space="preserve"> </w:t>
            </w:r>
            <w:r w:rsidR="00E20130" w:rsidRPr="00E20130">
              <w:rPr>
                <w:sz w:val="24"/>
                <w:szCs w:val="24"/>
              </w:rPr>
              <w:t>values, SOFA score calculated at study</w:t>
            </w:r>
            <w:r w:rsidR="00E20130">
              <w:rPr>
                <w:sz w:val="24"/>
                <w:szCs w:val="24"/>
              </w:rPr>
              <w:t xml:space="preserve"> </w:t>
            </w:r>
            <w:r w:rsidR="00E20130" w:rsidRPr="00E20130">
              <w:rPr>
                <w:sz w:val="24"/>
                <w:szCs w:val="24"/>
              </w:rPr>
              <w:t>enrollment,</w:t>
            </w:r>
            <w:r w:rsidR="00E20130">
              <w:rPr>
                <w:sz w:val="24"/>
                <w:szCs w:val="24"/>
              </w:rPr>
              <w:t xml:space="preserve"> </w:t>
            </w:r>
            <w:r w:rsidR="00E20130" w:rsidRPr="00E20130">
              <w:rPr>
                <w:sz w:val="24"/>
                <w:szCs w:val="24"/>
              </w:rPr>
              <w:t>cultures, type of sepsis, and processes of care</w:t>
            </w:r>
            <w:r w:rsidR="00E20130">
              <w:rPr>
                <w:sz w:val="24"/>
                <w:szCs w:val="24"/>
              </w:rPr>
              <w:t>.</w:t>
            </w:r>
          </w:p>
          <w:p w14:paraId="5C756C1C" w14:textId="77777777" w:rsidR="00E20130" w:rsidRDefault="00E20130" w:rsidP="001B18C6">
            <w:pPr>
              <w:rPr>
                <w:rFonts w:cs="Times New Roman"/>
                <w:sz w:val="24"/>
                <w:szCs w:val="24"/>
              </w:rPr>
            </w:pPr>
          </w:p>
          <w:p w14:paraId="62B937DD" w14:textId="108DCDF5" w:rsidR="001B18C6" w:rsidRDefault="00FB306C" w:rsidP="001B18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SMDs </w:t>
            </w:r>
            <w:r w:rsidR="00F56C64">
              <w:rPr>
                <w:rFonts w:cs="Times New Roman"/>
                <w:sz w:val="24"/>
                <w:szCs w:val="24"/>
              </w:rPr>
              <w:t xml:space="preserve">&gt; 0.1 or &lt; -0.1 = clinically significant </w:t>
            </w:r>
          </w:p>
          <w:p w14:paraId="749A760F" w14:textId="75FFDB42" w:rsidR="00F56C64" w:rsidRPr="001B18C6" w:rsidRDefault="00F56C64" w:rsidP="001B18C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p-value &lt; 0.05 </w:t>
            </w:r>
            <w:r w:rsidR="00D126D3">
              <w:rPr>
                <w:rFonts w:cs="Times New Roman"/>
                <w:sz w:val="24"/>
                <w:szCs w:val="24"/>
              </w:rPr>
              <w:t>= statistical significance</w:t>
            </w:r>
          </w:p>
          <w:p w14:paraId="11544EDB" w14:textId="76A11104" w:rsidR="00C66C2F" w:rsidRPr="00C66C2F" w:rsidRDefault="00C66C2F" w:rsidP="00C66C2F">
            <w:pPr>
              <w:rPr>
                <w:rFonts w:cs="Times New Roman"/>
                <w:sz w:val="24"/>
                <w:szCs w:val="24"/>
              </w:rPr>
            </w:pPr>
          </w:p>
          <w:p w14:paraId="6A61DFD4" w14:textId="755837B3" w:rsidR="00C66C2F" w:rsidRPr="00C66C2F" w:rsidRDefault="00D126D3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Power – based on ATHOS 3 (</w:t>
            </w:r>
            <w:r w:rsidR="00205D1F">
              <w:rPr>
                <w:rFonts w:cs="Times New Roman"/>
                <w:sz w:val="24"/>
                <w:szCs w:val="24"/>
              </w:rPr>
              <w:t xml:space="preserve">8% mortality difference at 7 days) the authors estimated that 198 patients in the treatment arm and 396 matched controls would be needed </w:t>
            </w:r>
            <w:r w:rsidR="007A1E54">
              <w:rPr>
                <w:rFonts w:cs="Times New Roman"/>
                <w:sz w:val="24"/>
                <w:szCs w:val="24"/>
              </w:rPr>
              <w:t>to have a 90% power to detect an 8% mortality difference.</w:t>
            </w:r>
          </w:p>
          <w:p w14:paraId="73F1E303" w14:textId="77777777" w:rsidR="001B18C6" w:rsidRDefault="001B18C6" w:rsidP="00C66C2F">
            <w:pPr>
              <w:rPr>
                <w:rFonts w:cs="Times New Roman"/>
                <w:sz w:val="24"/>
                <w:szCs w:val="24"/>
              </w:rPr>
            </w:pPr>
          </w:p>
          <w:p w14:paraId="47D4B1AA" w14:textId="3FDF489F" w:rsidR="00C66C2F" w:rsidRPr="00C66C2F" w:rsidRDefault="001B18C6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(Observational studies) W</w:t>
            </w:r>
            <w:r w:rsidR="00C66C2F" w:rsidRPr="00C66C2F">
              <w:rPr>
                <w:rFonts w:cs="Times New Roman"/>
                <w:sz w:val="24"/>
                <w:szCs w:val="24"/>
              </w:rPr>
              <w:t xml:space="preserve">as confounding controlled for? </w:t>
            </w:r>
          </w:p>
        </w:tc>
      </w:tr>
      <w:tr w:rsidR="00C66C2F" w:rsidRPr="00C66C2F" w14:paraId="3F2E97A9" w14:textId="77777777" w:rsidTr="00C66C2F">
        <w:tc>
          <w:tcPr>
            <w:tcW w:w="9350" w:type="dxa"/>
            <w:gridSpan w:val="3"/>
            <w:shd w:val="clear" w:color="auto" w:fill="A8D08D" w:themeFill="accent6" w:themeFillTint="99"/>
          </w:tcPr>
          <w:p w14:paraId="24B497C1" w14:textId="77777777" w:rsidR="00C66C2F" w:rsidRPr="00C66C2F" w:rsidRDefault="00C66C2F" w:rsidP="00C66C2F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66C2F">
              <w:rPr>
                <w:rFonts w:cs="Times New Roman"/>
                <w:b/>
                <w:i/>
                <w:sz w:val="28"/>
                <w:szCs w:val="24"/>
              </w:rPr>
              <w:t>Results</w:t>
            </w:r>
          </w:p>
        </w:tc>
      </w:tr>
      <w:tr w:rsidR="004A260C" w:rsidRPr="00C66C2F" w14:paraId="3AC27004" w14:textId="77777777" w:rsidTr="00944BC2">
        <w:tc>
          <w:tcPr>
            <w:tcW w:w="2449" w:type="dxa"/>
            <w:vMerge w:val="restart"/>
          </w:tcPr>
          <w:p w14:paraId="797D1258" w14:textId="77777777" w:rsidR="004A260C" w:rsidRPr="004A260C" w:rsidRDefault="004A260C" w:rsidP="00C66C2F">
            <w:pPr>
              <w:rPr>
                <w:rFonts w:cs="Times New Roman"/>
                <w:b/>
                <w:sz w:val="24"/>
                <w:szCs w:val="24"/>
              </w:rPr>
            </w:pPr>
            <w:r w:rsidRPr="004A260C">
              <w:rPr>
                <w:rFonts w:cs="Times New Roman"/>
                <w:b/>
                <w:sz w:val="24"/>
                <w:szCs w:val="24"/>
              </w:rPr>
              <w:t>Sample</w:t>
            </w:r>
          </w:p>
        </w:tc>
        <w:tc>
          <w:tcPr>
            <w:tcW w:w="3450" w:type="dxa"/>
          </w:tcPr>
          <w:p w14:paraId="4E35C602" w14:textId="77777777" w:rsidR="004A260C" w:rsidRPr="004A260C" w:rsidRDefault="004A260C" w:rsidP="004A260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260C">
              <w:rPr>
                <w:rFonts w:cs="Times New Roman"/>
                <w:b/>
                <w:sz w:val="24"/>
                <w:szCs w:val="24"/>
              </w:rPr>
              <w:t>Sample size</w:t>
            </w:r>
          </w:p>
        </w:tc>
        <w:tc>
          <w:tcPr>
            <w:tcW w:w="3451" w:type="dxa"/>
          </w:tcPr>
          <w:p w14:paraId="7FFA274B" w14:textId="77777777" w:rsidR="004A260C" w:rsidRPr="004A260C" w:rsidRDefault="004A260C" w:rsidP="004A260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A260C">
              <w:rPr>
                <w:rFonts w:cs="Times New Roman"/>
                <w:b/>
                <w:sz w:val="24"/>
                <w:szCs w:val="24"/>
              </w:rPr>
              <w:t>Baseline characteristics</w:t>
            </w:r>
          </w:p>
        </w:tc>
      </w:tr>
      <w:tr w:rsidR="004A260C" w:rsidRPr="00C66C2F" w14:paraId="498D8105" w14:textId="77777777" w:rsidTr="00944BC2">
        <w:tc>
          <w:tcPr>
            <w:tcW w:w="2449" w:type="dxa"/>
            <w:vMerge/>
          </w:tcPr>
          <w:p w14:paraId="50502863" w14:textId="77777777" w:rsidR="004A260C" w:rsidRPr="004A260C" w:rsidRDefault="004A260C" w:rsidP="00C66C2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</w:tcPr>
          <w:p w14:paraId="2E2A3D20" w14:textId="62443C2E" w:rsidR="008C6CE3" w:rsidRPr="00C66C2F" w:rsidRDefault="008C6CE3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Tx: 271 vs. Ctrl: </w:t>
            </w:r>
            <w:r w:rsidR="00F436A6">
              <w:rPr>
                <w:rFonts w:cs="Times New Roman"/>
                <w:sz w:val="24"/>
                <w:szCs w:val="24"/>
              </w:rPr>
              <w:t>542</w:t>
            </w:r>
          </w:p>
        </w:tc>
        <w:tc>
          <w:tcPr>
            <w:tcW w:w="3451" w:type="dxa"/>
          </w:tcPr>
          <w:p w14:paraId="229D5AFE" w14:textId="43AE8EBB" w:rsidR="00920403" w:rsidRDefault="00AE2BF5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Gender – 6</w:t>
            </w:r>
            <w:r w:rsidR="00920403">
              <w:rPr>
                <w:rFonts w:cs="Times New Roman"/>
                <w:sz w:val="24"/>
                <w:szCs w:val="24"/>
              </w:rPr>
              <w:t>5% vs. 61% male</w:t>
            </w:r>
          </w:p>
          <w:p w14:paraId="42DE104E" w14:textId="07ED48B7" w:rsidR="00531370" w:rsidRDefault="006009EC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Race – 71% vs. 77% White</w:t>
            </w:r>
          </w:p>
          <w:p w14:paraId="0ABDABBC" w14:textId="58FE78E9" w:rsidR="00531370" w:rsidRDefault="00531370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Post-Op – 62% vs</w:t>
            </w:r>
            <w:r w:rsidR="00AC3171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49%*</w:t>
            </w:r>
          </w:p>
          <w:p w14:paraId="17EDAFAA" w14:textId="1C7B3682" w:rsidR="00C21C77" w:rsidRDefault="00C21C77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Sepsis – 83% vs</w:t>
            </w:r>
            <w:r w:rsidR="00AC3171">
              <w:rPr>
                <w:rFonts w:cs="Times New Roman"/>
                <w:sz w:val="24"/>
                <w:szCs w:val="24"/>
              </w:rPr>
              <w:t>. 75%*</w:t>
            </w:r>
          </w:p>
          <w:p w14:paraId="6EAE577B" w14:textId="00AADAD9" w:rsidR="00F6312D" w:rsidRDefault="00F6312D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Epi – 77% vs. 68%*</w:t>
            </w:r>
          </w:p>
          <w:p w14:paraId="7E5D9C58" w14:textId="2AB9B566" w:rsidR="00F6312D" w:rsidRDefault="00F6312D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Vasopressin – 86% vs. 78%*</w:t>
            </w:r>
          </w:p>
          <w:p w14:paraId="55F2798D" w14:textId="3F1367D4" w:rsidR="00080D1E" w:rsidRDefault="00080D1E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Glucocorticoids – 77% vs 70%*</w:t>
            </w:r>
          </w:p>
          <w:p w14:paraId="1A154C11" w14:textId="31E7BF29" w:rsidR="001B18C6" w:rsidRDefault="006D6990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NE dose – similar</w:t>
            </w:r>
          </w:p>
          <w:p w14:paraId="7FAB4C30" w14:textId="33666AF7" w:rsidR="006D6990" w:rsidRDefault="00D979AA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SOFA – 12 vs. 10</w:t>
            </w:r>
            <w:r w:rsidR="00802F4B">
              <w:rPr>
                <w:rFonts w:cs="Times New Roman"/>
                <w:sz w:val="24"/>
                <w:szCs w:val="24"/>
              </w:rPr>
              <w:t>*</w:t>
            </w:r>
          </w:p>
          <w:p w14:paraId="7F54B883" w14:textId="0D092894" w:rsidR="00D979AA" w:rsidRDefault="00D979AA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MAP – 69 vs. 73</w:t>
            </w:r>
            <w:r w:rsidR="00802F4B">
              <w:rPr>
                <w:rFonts w:cs="Times New Roman"/>
                <w:sz w:val="24"/>
                <w:szCs w:val="24"/>
              </w:rPr>
              <w:t>*</w:t>
            </w:r>
          </w:p>
          <w:p w14:paraId="002925AF" w14:textId="77777777" w:rsidR="00D979AA" w:rsidRDefault="001162B4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TTE – 5 </w:t>
            </w:r>
            <w:proofErr w:type="spellStart"/>
            <w:r>
              <w:rPr>
                <w:rFonts w:cs="Times New Roman"/>
                <w:sz w:val="24"/>
                <w:szCs w:val="24"/>
              </w:rPr>
              <w:t>hrs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vs. 29 </w:t>
            </w:r>
            <w:proofErr w:type="spellStart"/>
            <w:r>
              <w:rPr>
                <w:rFonts w:cs="Times New Roman"/>
                <w:sz w:val="24"/>
                <w:szCs w:val="24"/>
              </w:rPr>
              <w:t>hrs</w:t>
            </w:r>
            <w:proofErr w:type="spellEnd"/>
            <w:r>
              <w:rPr>
                <w:rFonts w:cs="Times New Roman"/>
                <w:sz w:val="24"/>
                <w:szCs w:val="24"/>
              </w:rPr>
              <w:t>*</w:t>
            </w:r>
          </w:p>
          <w:p w14:paraId="7E66D1DA" w14:textId="7BA82C6C" w:rsidR="00E06328" w:rsidRPr="00C66C2F" w:rsidRDefault="00E06328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Lactate </w:t>
            </w:r>
            <w:r w:rsidR="00B93BDC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93BDC">
              <w:rPr>
                <w:rFonts w:cs="Times New Roman"/>
                <w:sz w:val="24"/>
                <w:szCs w:val="24"/>
              </w:rPr>
              <w:t>8.5 vs 5.9*</w:t>
            </w:r>
          </w:p>
        </w:tc>
      </w:tr>
      <w:tr w:rsidR="00C66C2F" w:rsidRPr="00C66C2F" w14:paraId="36B31FDE" w14:textId="77777777" w:rsidTr="00944BC2">
        <w:tc>
          <w:tcPr>
            <w:tcW w:w="2449" w:type="dxa"/>
          </w:tcPr>
          <w:p w14:paraId="549B7B26" w14:textId="77777777" w:rsidR="00C66C2F" w:rsidRPr="004A260C" w:rsidRDefault="004A260C" w:rsidP="00C66C2F">
            <w:pPr>
              <w:rPr>
                <w:rFonts w:cs="Times New Roman"/>
                <w:b/>
                <w:sz w:val="24"/>
                <w:szCs w:val="24"/>
              </w:rPr>
            </w:pPr>
            <w:r w:rsidRPr="004A260C">
              <w:rPr>
                <w:rFonts w:cs="Times New Roman"/>
                <w:b/>
                <w:sz w:val="24"/>
                <w:szCs w:val="24"/>
              </w:rPr>
              <w:t>Results</w:t>
            </w:r>
          </w:p>
        </w:tc>
        <w:tc>
          <w:tcPr>
            <w:tcW w:w="6901" w:type="dxa"/>
            <w:gridSpan w:val="2"/>
          </w:tcPr>
          <w:p w14:paraId="28944CC9" w14:textId="57E7753E" w:rsidR="001B18C6" w:rsidRDefault="00800F23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30-day mortality: </w:t>
            </w:r>
            <w:r w:rsidR="007E23EF">
              <w:rPr>
                <w:rFonts w:cs="Times New Roman"/>
                <w:sz w:val="24"/>
                <w:szCs w:val="24"/>
              </w:rPr>
              <w:t>60% vs. 56% (</w:t>
            </w:r>
            <w:proofErr w:type="spellStart"/>
            <w:r w:rsidR="007E23EF">
              <w:rPr>
                <w:rFonts w:cs="Times New Roman"/>
                <w:sz w:val="24"/>
                <w:szCs w:val="24"/>
              </w:rPr>
              <w:t>SDiff</w:t>
            </w:r>
            <w:proofErr w:type="spellEnd"/>
            <w:r w:rsidR="007E23EF">
              <w:rPr>
                <w:rFonts w:cs="Times New Roman"/>
                <w:sz w:val="24"/>
                <w:szCs w:val="24"/>
              </w:rPr>
              <w:t xml:space="preserve"> </w:t>
            </w:r>
            <w:r w:rsidR="00D0473D">
              <w:rPr>
                <w:rFonts w:cs="Times New Roman"/>
                <w:sz w:val="24"/>
                <w:szCs w:val="24"/>
              </w:rPr>
              <w:t>–</w:t>
            </w:r>
            <w:r w:rsidR="007E23EF">
              <w:rPr>
                <w:rFonts w:cs="Times New Roman"/>
                <w:sz w:val="24"/>
                <w:szCs w:val="24"/>
              </w:rPr>
              <w:t xml:space="preserve"> </w:t>
            </w:r>
            <w:r w:rsidR="00D0473D">
              <w:rPr>
                <w:rFonts w:cs="Times New Roman"/>
                <w:sz w:val="24"/>
                <w:szCs w:val="24"/>
              </w:rPr>
              <w:t>0.079</w:t>
            </w:r>
            <w:r w:rsidR="005516A5">
              <w:rPr>
                <w:rFonts w:cs="Times New Roman"/>
                <w:sz w:val="24"/>
                <w:szCs w:val="24"/>
              </w:rPr>
              <w:t>, p = 0.292)</w:t>
            </w:r>
          </w:p>
          <w:p w14:paraId="7056E764" w14:textId="29A0698F" w:rsidR="005516A5" w:rsidRDefault="005516A5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90-day mortality: </w:t>
            </w:r>
            <w:r w:rsidR="005621D2">
              <w:rPr>
                <w:rFonts w:cs="Times New Roman"/>
                <w:sz w:val="24"/>
                <w:szCs w:val="24"/>
              </w:rPr>
              <w:t>65% vs. 63% (</w:t>
            </w:r>
            <w:proofErr w:type="spellStart"/>
            <w:r w:rsidR="005621D2">
              <w:rPr>
                <w:rFonts w:cs="Times New Roman"/>
                <w:sz w:val="24"/>
                <w:szCs w:val="24"/>
              </w:rPr>
              <w:t>SDiff</w:t>
            </w:r>
            <w:proofErr w:type="spellEnd"/>
            <w:r w:rsidR="005621D2">
              <w:rPr>
                <w:rFonts w:cs="Times New Roman"/>
                <w:sz w:val="24"/>
                <w:szCs w:val="24"/>
              </w:rPr>
              <w:t xml:space="preserve"> – 0.058, p = 0.440)</w:t>
            </w:r>
          </w:p>
          <w:p w14:paraId="7CDD5E60" w14:textId="77777777" w:rsidR="005621D2" w:rsidRDefault="005621D2" w:rsidP="00C66C2F">
            <w:pPr>
              <w:rPr>
                <w:rFonts w:cs="Times New Roman"/>
                <w:sz w:val="24"/>
                <w:szCs w:val="24"/>
              </w:rPr>
            </w:pPr>
          </w:p>
          <w:p w14:paraId="1EC437C5" w14:textId="5B118410" w:rsidR="005621D2" w:rsidRDefault="005621D2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Similar thrombotic events (</w:t>
            </w:r>
            <w:r w:rsidR="0074520D">
              <w:rPr>
                <w:rFonts w:cs="Times New Roman"/>
                <w:sz w:val="24"/>
                <w:szCs w:val="24"/>
              </w:rPr>
              <w:t>29 vs. 27%).</w:t>
            </w:r>
          </w:p>
          <w:p w14:paraId="21CAB67A" w14:textId="77777777" w:rsidR="0074520D" w:rsidRDefault="0074520D" w:rsidP="00C66C2F">
            <w:pPr>
              <w:rPr>
                <w:rFonts w:cs="Times New Roman"/>
                <w:sz w:val="24"/>
                <w:szCs w:val="24"/>
              </w:rPr>
            </w:pPr>
          </w:p>
          <w:p w14:paraId="0974B5F1" w14:textId="3A80C014" w:rsidR="0074520D" w:rsidRDefault="0074520D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Higher MA-SOFA at baseline with similar daily changes.</w:t>
            </w:r>
          </w:p>
          <w:p w14:paraId="658A8016" w14:textId="77777777" w:rsidR="001B18C6" w:rsidRDefault="001B18C6" w:rsidP="00C66C2F">
            <w:pPr>
              <w:rPr>
                <w:rFonts w:cs="Times New Roman"/>
                <w:sz w:val="24"/>
                <w:szCs w:val="24"/>
              </w:rPr>
            </w:pPr>
          </w:p>
          <w:p w14:paraId="36CDB12D" w14:textId="7EB11929" w:rsidR="001B18C6" w:rsidRDefault="00386C10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 difference in MAP by day 5.</w:t>
            </w:r>
          </w:p>
          <w:p w14:paraId="46DAB138" w14:textId="77777777" w:rsidR="00D17472" w:rsidRDefault="00D17472" w:rsidP="00C66C2F">
            <w:pPr>
              <w:rPr>
                <w:rFonts w:cs="Times New Roman"/>
                <w:sz w:val="24"/>
                <w:szCs w:val="24"/>
              </w:rPr>
            </w:pPr>
          </w:p>
          <w:p w14:paraId="40F95DDF" w14:textId="44A83A8B" w:rsidR="00D17472" w:rsidRDefault="00D17472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30-day mortality (adjusted): OR 0.95 (95% CI </w:t>
            </w:r>
            <w:r w:rsidR="0055631D">
              <w:rPr>
                <w:rFonts w:cs="Times New Roman"/>
                <w:sz w:val="24"/>
                <w:szCs w:val="24"/>
              </w:rPr>
              <w:t>0.61-1.48, p = 0.827)</w:t>
            </w:r>
          </w:p>
          <w:p w14:paraId="1CE9F08C" w14:textId="5D59E8E9" w:rsidR="0055631D" w:rsidRDefault="0055631D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Similar findings for 90-day mortality, KRT, mech vent, AEs, and other secondary outcomes.</w:t>
            </w:r>
          </w:p>
          <w:p w14:paraId="4A17C952" w14:textId="77777777" w:rsidR="001B18C6" w:rsidRDefault="001B18C6" w:rsidP="00C66C2F">
            <w:pPr>
              <w:rPr>
                <w:rFonts w:cs="Times New Roman"/>
                <w:sz w:val="24"/>
                <w:szCs w:val="24"/>
              </w:rPr>
            </w:pPr>
          </w:p>
          <w:p w14:paraId="5787E245" w14:textId="77777777" w:rsidR="001B18C6" w:rsidRDefault="001B18C6" w:rsidP="00C66C2F">
            <w:pPr>
              <w:rPr>
                <w:rFonts w:cs="Times New Roman"/>
                <w:sz w:val="24"/>
                <w:szCs w:val="24"/>
              </w:rPr>
            </w:pPr>
            <w:r w:rsidRPr="001B18C6">
              <w:rPr>
                <w:rFonts w:cs="Times New Roman"/>
                <w:sz w:val="24"/>
                <w:szCs w:val="24"/>
              </w:rPr>
              <w:lastRenderedPageBreak/>
              <w:t>Be sure to include the results of the primary and secondary endpoints, statistical significance (e.g.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1B18C6">
              <w:rPr>
                <w:rFonts w:cs="Times New Roman"/>
                <w:sz w:val="24"/>
                <w:szCs w:val="24"/>
              </w:rPr>
              <w:t xml:space="preserve"> p-value, confidence interval, etc.)</w:t>
            </w:r>
            <w:r>
              <w:rPr>
                <w:rFonts w:cs="Times New Roman"/>
                <w:sz w:val="24"/>
                <w:szCs w:val="24"/>
              </w:rPr>
              <w:t>, and clinical significance (e.g., HR, RR, NNT).</w:t>
            </w:r>
          </w:p>
          <w:p w14:paraId="1173C7D9" w14:textId="77777777" w:rsidR="001B18C6" w:rsidRDefault="001B18C6" w:rsidP="00C66C2F">
            <w:pPr>
              <w:rPr>
                <w:rFonts w:cs="Times New Roman"/>
                <w:sz w:val="24"/>
                <w:szCs w:val="24"/>
              </w:rPr>
            </w:pPr>
          </w:p>
          <w:p w14:paraId="6444991F" w14:textId="21C6845C" w:rsidR="004A260C" w:rsidRPr="00C66C2F" w:rsidRDefault="001B18C6" w:rsidP="00C66C2F">
            <w:pPr>
              <w:rPr>
                <w:rFonts w:cs="Times New Roman"/>
                <w:sz w:val="24"/>
                <w:szCs w:val="24"/>
              </w:rPr>
            </w:pPr>
            <w:r w:rsidRPr="001B18C6">
              <w:rPr>
                <w:rFonts w:cs="Times New Roman"/>
                <w:sz w:val="24"/>
                <w:szCs w:val="24"/>
              </w:rPr>
              <w:t>Address noteworthy adverse event rates (if applicable).</w:t>
            </w:r>
          </w:p>
        </w:tc>
      </w:tr>
      <w:tr w:rsidR="004A260C" w:rsidRPr="00C66C2F" w14:paraId="20DB7820" w14:textId="77777777" w:rsidTr="004A260C">
        <w:tc>
          <w:tcPr>
            <w:tcW w:w="9350" w:type="dxa"/>
            <w:gridSpan w:val="3"/>
            <w:shd w:val="clear" w:color="auto" w:fill="A8D08D" w:themeFill="accent6" w:themeFillTint="99"/>
          </w:tcPr>
          <w:p w14:paraId="10DA46D1" w14:textId="77777777" w:rsidR="004A260C" w:rsidRPr="004A260C" w:rsidRDefault="004A260C" w:rsidP="004A260C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4A260C">
              <w:rPr>
                <w:rFonts w:cs="Times New Roman"/>
                <w:b/>
                <w:i/>
                <w:sz w:val="28"/>
                <w:szCs w:val="24"/>
              </w:rPr>
              <w:lastRenderedPageBreak/>
              <w:t>Discussion</w:t>
            </w:r>
          </w:p>
        </w:tc>
      </w:tr>
      <w:tr w:rsidR="001B18C6" w:rsidRPr="00C66C2F" w14:paraId="2EE0F193" w14:textId="77777777" w:rsidTr="00944BC2">
        <w:tc>
          <w:tcPr>
            <w:tcW w:w="2449" w:type="dxa"/>
          </w:tcPr>
          <w:p w14:paraId="31ECE6FC" w14:textId="4770002B" w:rsidR="001B18C6" w:rsidRPr="001B18C6" w:rsidRDefault="001B18C6" w:rsidP="00C66C2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Evaluation of Study Quality</w:t>
            </w:r>
          </w:p>
        </w:tc>
        <w:tc>
          <w:tcPr>
            <w:tcW w:w="6901" w:type="dxa"/>
            <w:gridSpan w:val="2"/>
          </w:tcPr>
          <w:p w14:paraId="68661282" w14:textId="33A88E88" w:rsidR="00A447A4" w:rsidRDefault="00856204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Quality – matched controls w/concurrent and historical cohort, appropriately powered, confounders identified and adjusted</w:t>
            </w:r>
            <w:r w:rsidR="00A447A4">
              <w:rPr>
                <w:rFonts w:cs="Times New Roman"/>
                <w:sz w:val="24"/>
                <w:szCs w:val="24"/>
              </w:rPr>
              <w:t>, POEMs.</w:t>
            </w:r>
          </w:p>
        </w:tc>
      </w:tr>
      <w:tr w:rsidR="00C66C2F" w:rsidRPr="00C66C2F" w14:paraId="2E4BB163" w14:textId="77777777" w:rsidTr="00944BC2">
        <w:tc>
          <w:tcPr>
            <w:tcW w:w="2449" w:type="dxa"/>
          </w:tcPr>
          <w:p w14:paraId="1E9C1FF2" w14:textId="48AF8A2D" w:rsidR="00C66C2F" w:rsidRPr="004A260C" w:rsidRDefault="00944BC2" w:rsidP="00C66C2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Authors</w:t>
            </w:r>
            <w:r w:rsidR="004A260C" w:rsidRPr="004A260C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Discussion/Conclusion</w:t>
            </w:r>
            <w:r w:rsidR="004A260C" w:rsidRPr="004A260C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901" w:type="dxa"/>
            <w:gridSpan w:val="2"/>
          </w:tcPr>
          <w:p w14:paraId="668242DB" w14:textId="621E1EFA" w:rsidR="00C66C2F" w:rsidRPr="00C66C2F" w:rsidRDefault="00A447A4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According to the authors, the use of AT II did not improve mortality or secondary outcomes in ICU patients with refractory shock. </w:t>
            </w:r>
            <w:r w:rsidR="004A260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A260C" w:rsidRPr="00C66C2F" w14:paraId="01A3470A" w14:textId="77777777" w:rsidTr="00944BC2">
        <w:tc>
          <w:tcPr>
            <w:tcW w:w="2449" w:type="dxa"/>
          </w:tcPr>
          <w:p w14:paraId="28E0F709" w14:textId="77777777" w:rsidR="004A260C" w:rsidRPr="004A260C" w:rsidRDefault="004A260C" w:rsidP="00C66C2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Strengths </w:t>
            </w:r>
          </w:p>
        </w:tc>
        <w:tc>
          <w:tcPr>
            <w:tcW w:w="6901" w:type="dxa"/>
            <w:gridSpan w:val="2"/>
          </w:tcPr>
          <w:p w14:paraId="5971E677" w14:textId="185E9E1D" w:rsidR="004A260C" w:rsidRDefault="00944BC2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What strengths did the authors identify? What additional strengths did you identify (e.g., external validity, patient-oriented outcomes)?</w:t>
            </w:r>
          </w:p>
        </w:tc>
      </w:tr>
      <w:tr w:rsidR="004A260C" w:rsidRPr="00C66C2F" w14:paraId="4A8F3375" w14:textId="77777777" w:rsidTr="00944BC2">
        <w:tc>
          <w:tcPr>
            <w:tcW w:w="2449" w:type="dxa"/>
          </w:tcPr>
          <w:p w14:paraId="6FE8FC02" w14:textId="77777777" w:rsidR="004A260C" w:rsidRDefault="004A260C" w:rsidP="00C66C2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Limitations </w:t>
            </w:r>
          </w:p>
        </w:tc>
        <w:tc>
          <w:tcPr>
            <w:tcW w:w="6901" w:type="dxa"/>
            <w:gridSpan w:val="2"/>
          </w:tcPr>
          <w:p w14:paraId="3566B18C" w14:textId="77777777" w:rsidR="004A260C" w:rsidRDefault="002530E4" w:rsidP="00C66C2F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Treatment group was generally more critically ill than the control group</w:t>
            </w:r>
            <w:r w:rsidR="00552A84">
              <w:rPr>
                <w:rFonts w:cs="Times New Roman"/>
                <w:bCs/>
                <w:sz w:val="24"/>
                <w:szCs w:val="24"/>
              </w:rPr>
              <w:t>, consistent with practice of using AT II as salvage therapy.</w:t>
            </w:r>
          </w:p>
          <w:p w14:paraId="47CD71FE" w14:textId="77777777" w:rsidR="00552A84" w:rsidRDefault="00552A84" w:rsidP="00C66C2F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25679094" w14:textId="77777777" w:rsidR="00552A84" w:rsidRDefault="00552A84" w:rsidP="00C66C2F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No accounting for previous ACEI or ARB use.</w:t>
            </w:r>
          </w:p>
          <w:p w14:paraId="68E47C64" w14:textId="77777777" w:rsidR="00E25BD9" w:rsidRDefault="00E25BD9" w:rsidP="00C66C2F">
            <w:pPr>
              <w:rPr>
                <w:rFonts w:cs="Times New Roman"/>
                <w:bCs/>
                <w:sz w:val="24"/>
                <w:szCs w:val="24"/>
              </w:rPr>
            </w:pPr>
          </w:p>
          <w:p w14:paraId="5818CD77" w14:textId="24A190FB" w:rsidR="00E25BD9" w:rsidRPr="002530E4" w:rsidRDefault="00E25BD9" w:rsidP="00C66C2F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Questionable methodology for power analysis.</w:t>
            </w:r>
          </w:p>
        </w:tc>
      </w:tr>
      <w:tr w:rsidR="00944BC2" w:rsidRPr="00C66C2F" w14:paraId="766CB2D8" w14:textId="77777777" w:rsidTr="00A054C6">
        <w:tc>
          <w:tcPr>
            <w:tcW w:w="2449" w:type="dxa"/>
          </w:tcPr>
          <w:p w14:paraId="72B5F88D" w14:textId="0FD921A3" w:rsidR="00944BC2" w:rsidRDefault="00944BC2" w:rsidP="00C66C2F">
            <w:pPr>
              <w:rPr>
                <w:rFonts w:cs="Times New Roman"/>
                <w:b/>
                <w:sz w:val="24"/>
                <w:szCs w:val="24"/>
              </w:rPr>
            </w:pPr>
            <w:r w:rsidRPr="004A260C">
              <w:rPr>
                <w:rFonts w:cs="Times New Roman"/>
                <w:b/>
                <w:sz w:val="24"/>
                <w:szCs w:val="24"/>
              </w:rPr>
              <w:t>Your analysis</w:t>
            </w:r>
          </w:p>
        </w:tc>
        <w:tc>
          <w:tcPr>
            <w:tcW w:w="6901" w:type="dxa"/>
            <w:gridSpan w:val="2"/>
          </w:tcPr>
          <w:p w14:paraId="04A009A8" w14:textId="557B2F1A" w:rsidR="00944BC2" w:rsidRDefault="00E25BD9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The findings of this study support previous literature that although AT II can improve DOEs (e.g., MAP) it has not demonstrated a clear benefit for improving patient-oriented outcomes (e.g., mortality). </w:t>
            </w:r>
            <w:r w:rsidR="009B5897">
              <w:rPr>
                <w:rFonts w:cs="Times New Roman"/>
                <w:sz w:val="24"/>
                <w:szCs w:val="24"/>
              </w:rPr>
              <w:t xml:space="preserve">Based on the findings of this study the role of AT II in the poisoned patient should be limited to cases with a known </w:t>
            </w:r>
            <w:r w:rsidR="00950410">
              <w:rPr>
                <w:rFonts w:cs="Times New Roman"/>
                <w:sz w:val="24"/>
                <w:szCs w:val="24"/>
              </w:rPr>
              <w:t>overdose involving an ACEI. Otherwise AT II has no role in managing patients with refractory hypotension secondary to drug overdose (e.g., CCBs, BB, ARBs)</w:t>
            </w:r>
            <w:r w:rsidR="00096EBF">
              <w:rPr>
                <w:rFonts w:cs="Times New Roman"/>
                <w:sz w:val="24"/>
                <w:szCs w:val="24"/>
              </w:rPr>
              <w:t>.</w:t>
            </w:r>
          </w:p>
          <w:p w14:paraId="0C681267" w14:textId="77777777" w:rsidR="00096EBF" w:rsidRPr="00E25BD9" w:rsidRDefault="00096EBF" w:rsidP="00C66C2F">
            <w:pPr>
              <w:rPr>
                <w:rFonts w:cs="Times New Roman"/>
                <w:sz w:val="24"/>
                <w:szCs w:val="24"/>
              </w:rPr>
            </w:pPr>
          </w:p>
          <w:p w14:paraId="4A0D2C63" w14:textId="175BD740" w:rsidR="00944BC2" w:rsidRDefault="00096EBF" w:rsidP="00C66C2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It would be helpful to have a prospective study evaluating AT II powered to detect mortality </w:t>
            </w:r>
            <w:r w:rsidR="00151579">
              <w:rPr>
                <w:rFonts w:cs="Times New Roman"/>
                <w:sz w:val="24"/>
                <w:szCs w:val="24"/>
              </w:rPr>
              <w:t xml:space="preserve">in patients with refractory shock. Additionally, </w:t>
            </w:r>
            <w:r w:rsidR="002449E4">
              <w:rPr>
                <w:rFonts w:cs="Times New Roman"/>
                <w:sz w:val="24"/>
                <w:szCs w:val="24"/>
              </w:rPr>
              <w:t>a retrospective cohort study matching for additional factors that predict mortality (e.g., lactate, MAP, SOFA)</w:t>
            </w:r>
            <w:r w:rsidR="00F85457">
              <w:rPr>
                <w:rFonts w:cs="Times New Roman"/>
                <w:sz w:val="24"/>
                <w:szCs w:val="24"/>
              </w:rPr>
              <w:t xml:space="preserve"> or in a cohort where AT II is </w:t>
            </w:r>
            <w:r w:rsidR="00C82760">
              <w:rPr>
                <w:rFonts w:cs="Times New Roman"/>
                <w:sz w:val="24"/>
                <w:szCs w:val="24"/>
              </w:rPr>
              <w:t xml:space="preserve">used </w:t>
            </w:r>
            <w:r w:rsidR="00DF1465">
              <w:rPr>
                <w:rFonts w:cs="Times New Roman"/>
                <w:sz w:val="24"/>
                <w:szCs w:val="24"/>
              </w:rPr>
              <w:t>earlier in patient care.</w:t>
            </w:r>
          </w:p>
        </w:tc>
      </w:tr>
      <w:tr w:rsidR="00944BC2" w:rsidRPr="00C66C2F" w14:paraId="27FB8891" w14:textId="77777777" w:rsidTr="00A054C6">
        <w:tc>
          <w:tcPr>
            <w:tcW w:w="2449" w:type="dxa"/>
          </w:tcPr>
          <w:p w14:paraId="4316035A" w14:textId="58AE00C4" w:rsidR="00944BC2" w:rsidRPr="004A260C" w:rsidRDefault="00944BC2" w:rsidP="00C66C2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Application to patient</w:t>
            </w:r>
          </w:p>
        </w:tc>
        <w:tc>
          <w:tcPr>
            <w:tcW w:w="6901" w:type="dxa"/>
            <w:gridSpan w:val="2"/>
          </w:tcPr>
          <w:p w14:paraId="0554F9B0" w14:textId="0A5AC5FB" w:rsidR="00596EF8" w:rsidRPr="00596EF8" w:rsidRDefault="00DF1465" w:rsidP="00C66C2F">
            <w:pPr>
              <w:rPr>
                <w:rFonts w:cs="Times New Roman"/>
                <w:i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In patients with refractory shock, including drug induced shock, the use of AT II </w:t>
            </w:r>
            <w:r w:rsidR="00E11D6B">
              <w:rPr>
                <w:rFonts w:cs="Times New Roman"/>
                <w:sz w:val="24"/>
                <w:szCs w:val="24"/>
              </w:rPr>
              <w:t>is not recommended and does not reduce mortality. It is reasonable to consider AT II in patients with ACEI overdose.</w:t>
            </w:r>
          </w:p>
        </w:tc>
      </w:tr>
    </w:tbl>
    <w:p w14:paraId="3815E1D9" w14:textId="43FE2906" w:rsidR="00A52A07" w:rsidRPr="0069692F" w:rsidRDefault="00A52A07">
      <w:pPr>
        <w:rPr>
          <w:rFonts w:cs="Times New Roman"/>
          <w:szCs w:val="24"/>
        </w:rPr>
      </w:pPr>
    </w:p>
    <w:sectPr w:rsidR="00A52A07" w:rsidRPr="00696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00A"/>
    <w:multiLevelType w:val="hybridMultilevel"/>
    <w:tmpl w:val="C38C88CE"/>
    <w:lvl w:ilvl="0" w:tplc="02389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35B"/>
    <w:multiLevelType w:val="hybridMultilevel"/>
    <w:tmpl w:val="AA3678D6"/>
    <w:lvl w:ilvl="0" w:tplc="35CE7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69A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E77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766B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249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A9F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EAAF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CECE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1C45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B72CDD"/>
    <w:multiLevelType w:val="hybridMultilevel"/>
    <w:tmpl w:val="8EC47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D653E"/>
    <w:multiLevelType w:val="hybridMultilevel"/>
    <w:tmpl w:val="84A2B4BE"/>
    <w:lvl w:ilvl="0" w:tplc="612A16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D27E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500D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3005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524F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3CA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58D8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209E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85A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BE127CD"/>
    <w:multiLevelType w:val="hybridMultilevel"/>
    <w:tmpl w:val="C6F8C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467121">
    <w:abstractNumId w:val="2"/>
  </w:num>
  <w:num w:numId="2" w16cid:durableId="1466316613">
    <w:abstractNumId w:val="3"/>
  </w:num>
  <w:num w:numId="3" w16cid:durableId="1884366666">
    <w:abstractNumId w:val="1"/>
  </w:num>
  <w:num w:numId="4" w16cid:durableId="160853448">
    <w:abstractNumId w:val="4"/>
  </w:num>
  <w:num w:numId="5" w16cid:durableId="897085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444"/>
    <w:rsid w:val="0003369C"/>
    <w:rsid w:val="00043FFE"/>
    <w:rsid w:val="000537CE"/>
    <w:rsid w:val="00080D1E"/>
    <w:rsid w:val="00096EBF"/>
    <w:rsid w:val="000C3771"/>
    <w:rsid w:val="001162B4"/>
    <w:rsid w:val="00125444"/>
    <w:rsid w:val="00151579"/>
    <w:rsid w:val="001536C4"/>
    <w:rsid w:val="001A5C0F"/>
    <w:rsid w:val="001B18C6"/>
    <w:rsid w:val="001B5092"/>
    <w:rsid w:val="001B76AA"/>
    <w:rsid w:val="001D79BF"/>
    <w:rsid w:val="00205D1F"/>
    <w:rsid w:val="00212A1B"/>
    <w:rsid w:val="00213B74"/>
    <w:rsid w:val="002449E4"/>
    <w:rsid w:val="002530E4"/>
    <w:rsid w:val="002E0070"/>
    <w:rsid w:val="002F5158"/>
    <w:rsid w:val="0037745F"/>
    <w:rsid w:val="00386C10"/>
    <w:rsid w:val="003C2AD3"/>
    <w:rsid w:val="003C732A"/>
    <w:rsid w:val="00456A7A"/>
    <w:rsid w:val="0046473B"/>
    <w:rsid w:val="00477091"/>
    <w:rsid w:val="00477DCC"/>
    <w:rsid w:val="004A260C"/>
    <w:rsid w:val="004B115B"/>
    <w:rsid w:val="004D1A5F"/>
    <w:rsid w:val="00516F66"/>
    <w:rsid w:val="005240B5"/>
    <w:rsid w:val="00531370"/>
    <w:rsid w:val="005516A5"/>
    <w:rsid w:val="00552A84"/>
    <w:rsid w:val="0055631D"/>
    <w:rsid w:val="005621D2"/>
    <w:rsid w:val="00596EF8"/>
    <w:rsid w:val="005B0C0B"/>
    <w:rsid w:val="005B79A8"/>
    <w:rsid w:val="005D1730"/>
    <w:rsid w:val="006009EC"/>
    <w:rsid w:val="00637B51"/>
    <w:rsid w:val="0069692F"/>
    <w:rsid w:val="006D6990"/>
    <w:rsid w:val="006E6F85"/>
    <w:rsid w:val="006F2893"/>
    <w:rsid w:val="00714C1A"/>
    <w:rsid w:val="00727877"/>
    <w:rsid w:val="0074520D"/>
    <w:rsid w:val="007943DB"/>
    <w:rsid w:val="007A1E54"/>
    <w:rsid w:val="007B5347"/>
    <w:rsid w:val="007E23EF"/>
    <w:rsid w:val="00800F23"/>
    <w:rsid w:val="00802F4B"/>
    <w:rsid w:val="00814C77"/>
    <w:rsid w:val="00856204"/>
    <w:rsid w:val="0089154E"/>
    <w:rsid w:val="008B69CC"/>
    <w:rsid w:val="008C6CE3"/>
    <w:rsid w:val="008F56FB"/>
    <w:rsid w:val="00920403"/>
    <w:rsid w:val="00944BC2"/>
    <w:rsid w:val="00950410"/>
    <w:rsid w:val="0096556D"/>
    <w:rsid w:val="009B5897"/>
    <w:rsid w:val="009B5DDD"/>
    <w:rsid w:val="009D6290"/>
    <w:rsid w:val="009E675D"/>
    <w:rsid w:val="00A447A4"/>
    <w:rsid w:val="00A52A07"/>
    <w:rsid w:val="00A57B8E"/>
    <w:rsid w:val="00A80011"/>
    <w:rsid w:val="00AC3171"/>
    <w:rsid w:val="00AD1EE0"/>
    <w:rsid w:val="00AE2BF5"/>
    <w:rsid w:val="00B50115"/>
    <w:rsid w:val="00B674D0"/>
    <w:rsid w:val="00B93BDC"/>
    <w:rsid w:val="00BA4F5B"/>
    <w:rsid w:val="00BD725C"/>
    <w:rsid w:val="00BE10CA"/>
    <w:rsid w:val="00C178B8"/>
    <w:rsid w:val="00C21C77"/>
    <w:rsid w:val="00C5475E"/>
    <w:rsid w:val="00C6426D"/>
    <w:rsid w:val="00C66C2F"/>
    <w:rsid w:val="00C82760"/>
    <w:rsid w:val="00C97FE1"/>
    <w:rsid w:val="00CF5CE3"/>
    <w:rsid w:val="00D0473D"/>
    <w:rsid w:val="00D126D3"/>
    <w:rsid w:val="00D17472"/>
    <w:rsid w:val="00D71A0D"/>
    <w:rsid w:val="00D979AA"/>
    <w:rsid w:val="00DA7F43"/>
    <w:rsid w:val="00DB7595"/>
    <w:rsid w:val="00DF1465"/>
    <w:rsid w:val="00E06328"/>
    <w:rsid w:val="00E11D6B"/>
    <w:rsid w:val="00E20130"/>
    <w:rsid w:val="00E25BD9"/>
    <w:rsid w:val="00E70043"/>
    <w:rsid w:val="00E73967"/>
    <w:rsid w:val="00E966BA"/>
    <w:rsid w:val="00F436A6"/>
    <w:rsid w:val="00F56C64"/>
    <w:rsid w:val="00F6312D"/>
    <w:rsid w:val="00F748E3"/>
    <w:rsid w:val="00F85457"/>
    <w:rsid w:val="00F92F14"/>
    <w:rsid w:val="00FB306C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4B1C"/>
  <w15:chartTrackingRefBased/>
  <w15:docId w15:val="{DFCCE27F-BA2D-4D31-83BD-77D218F2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3B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31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2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89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Lussier</dc:creator>
  <cp:keywords/>
  <dc:description/>
  <cp:lastModifiedBy>William D. Eggleston</cp:lastModifiedBy>
  <cp:revision>2</cp:revision>
  <dcterms:created xsi:type="dcterms:W3CDTF">2024-08-08T17:23:00Z</dcterms:created>
  <dcterms:modified xsi:type="dcterms:W3CDTF">2024-08-08T17:23:00Z</dcterms:modified>
</cp:coreProperties>
</file>